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right="-284"/>
      </w:pPr>
      <w:r/>
      <w:r/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Утверждаю: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Заместитель директора–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главный инженер филиала 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ПАО «</w:t>
      </w:r>
      <w:r>
        <w:rPr>
          <w:color w:val="000000"/>
          <w:sz w:val="28"/>
          <w:szCs w:val="20"/>
        </w:rPr>
        <w:t xml:space="preserve">Россети</w:t>
      </w:r>
      <w:r>
        <w:rPr>
          <w:color w:val="000000"/>
          <w:sz w:val="28"/>
          <w:szCs w:val="20"/>
        </w:rPr>
        <w:t xml:space="preserve"> Урал»- 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«Челябэнерго» 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______________В.А. </w:t>
      </w:r>
      <w:r>
        <w:rPr>
          <w:color w:val="000000"/>
          <w:sz w:val="28"/>
          <w:szCs w:val="20"/>
        </w:rPr>
        <w:t xml:space="preserve">Обвинцев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pPr>
        <w:ind w:left="5812" w:right="-284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«_</w:t>
      </w:r>
      <w:r>
        <w:rPr>
          <w:color w:val="000000"/>
          <w:sz w:val="28"/>
          <w:szCs w:val="20"/>
        </w:rPr>
        <w:t xml:space="preserve">_»_</w:t>
      </w:r>
      <w:r>
        <w:rPr>
          <w:color w:val="000000"/>
          <w:sz w:val="28"/>
          <w:szCs w:val="20"/>
        </w:rPr>
        <w:t xml:space="preserve">_______________ 2026</w:t>
      </w:r>
      <w:r>
        <w:rPr>
          <w:color w:val="000000"/>
          <w:sz w:val="28"/>
          <w:szCs w:val="20"/>
        </w:rPr>
        <w:t xml:space="preserve"> г.</w:t>
      </w:r>
      <w:r>
        <w:rPr>
          <w:color w:val="000000"/>
          <w:sz w:val="28"/>
          <w:szCs w:val="20"/>
        </w:rPr>
      </w:r>
      <w:r>
        <w:rPr>
          <w:color w:val="000000"/>
          <w:sz w:val="28"/>
          <w:szCs w:val="20"/>
        </w:rPr>
      </w:r>
    </w:p>
    <w:p>
      <w:r/>
      <w:r/>
    </w:p>
    <w:p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</w:pPr>
      <w:r/>
      <w:r/>
    </w:p>
    <w:p>
      <w:pPr>
        <w:jc w:val="right"/>
        <w:spacing w:line="276" w:lineRule="auto"/>
      </w:pPr>
      <w:r/>
      <w:r/>
    </w:p>
    <w:p>
      <w:pPr>
        <w:jc w:val="center"/>
        <w:spacing w:line="276" w:lineRule="auto"/>
      </w:pPr>
      <w:r/>
      <w:r/>
    </w:p>
    <w:p>
      <w:pPr>
        <w:pStyle w:val="928"/>
        <w:jc w:val="center"/>
        <w:rPr>
          <w:i w:val="0"/>
          <w:sz w:val="28"/>
          <w:szCs w:val="28"/>
        </w:rPr>
      </w:pPr>
      <w:r>
        <w:rPr>
          <w:i w:val="0"/>
          <w:sz w:val="28"/>
          <w:szCs w:val="28"/>
        </w:rPr>
        <w:t xml:space="preserve">ТЕХНИЧЕСК</w:t>
      </w:r>
      <w:r>
        <w:rPr>
          <w:i w:val="0"/>
          <w:sz w:val="28"/>
          <w:szCs w:val="28"/>
        </w:rPr>
        <w:t xml:space="preserve">ОЕ</w:t>
      </w:r>
      <w:r>
        <w:rPr>
          <w:i w:val="0"/>
          <w:sz w:val="28"/>
          <w:szCs w:val="28"/>
        </w:rPr>
        <w:t xml:space="preserve"> </w:t>
      </w:r>
      <w:r>
        <w:rPr>
          <w:i w:val="0"/>
          <w:sz w:val="28"/>
          <w:szCs w:val="28"/>
        </w:rPr>
        <w:t xml:space="preserve">ЗАДАНИЕ</w:t>
      </w:r>
      <w:r>
        <w:rPr>
          <w:i w:val="0"/>
          <w:sz w:val="28"/>
          <w:szCs w:val="28"/>
        </w:rPr>
      </w:r>
      <w:r>
        <w:rPr>
          <w:i w:val="0"/>
          <w:sz w:val="28"/>
          <w:szCs w:val="28"/>
        </w:rPr>
      </w:r>
    </w:p>
    <w:p>
      <w:pPr>
        <w:pStyle w:val="94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0"/>
        <w:jc w:val="center"/>
        <w:rPr>
          <w:b/>
        </w:rPr>
      </w:pPr>
      <w:r>
        <w:rPr>
          <w:b/>
        </w:rPr>
        <w:t xml:space="preserve">для организации и проведения </w:t>
      </w:r>
      <w:r>
        <w:rPr>
          <w:b/>
        </w:rPr>
        <w:t xml:space="preserve">сравнения цен в электронной форме</w:t>
      </w:r>
      <w:r>
        <w:rPr>
          <w:b/>
        </w:rPr>
        <w:t xml:space="preserve">,</w:t>
      </w:r>
      <w:r>
        <w:rPr>
          <w:b/>
        </w:rPr>
        <w:t xml:space="preserve"> участниками которого могут быть только субъекты МСП</w:t>
      </w:r>
      <w:r>
        <w:rPr>
          <w:b/>
        </w:rPr>
      </w:r>
      <w:r>
        <w:rPr>
          <w:b/>
        </w:rPr>
      </w:r>
    </w:p>
    <w:p>
      <w:pPr>
        <w:pStyle w:val="94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0"/>
        <w:jc w:val="center"/>
        <w:rPr>
          <w:b/>
        </w:rPr>
      </w:pPr>
      <w:r>
        <w:rPr>
          <w:b/>
        </w:rPr>
        <w:t xml:space="preserve">на пр</w:t>
      </w:r>
      <w:r>
        <w:rPr>
          <w:b/>
        </w:rPr>
        <w:t xml:space="preserve">аво заключения договора </w:t>
      </w:r>
      <w:r>
        <w:rPr>
          <w:b/>
        </w:rPr>
        <w:t xml:space="preserve">на </w:t>
      </w:r>
      <w:r>
        <w:t xml:space="preserve">о</w:t>
      </w:r>
      <w:r>
        <w:t xml:space="preserve">казание услуг по утилизации </w:t>
      </w:r>
      <w:r>
        <w:t xml:space="preserve">промышленных отходов для ПО </w:t>
      </w:r>
      <w:r>
        <w:t xml:space="preserve">«</w:t>
      </w:r>
      <w:r>
        <w:t xml:space="preserve">Центральные</w:t>
      </w:r>
      <w:r>
        <w:t xml:space="preserve"> электрические сети</w:t>
      </w:r>
      <w:r>
        <w:t xml:space="preserve">»</w:t>
      </w:r>
      <w:r>
        <w:t xml:space="preserve"> филиала </w:t>
      </w:r>
      <w:r>
        <w:br/>
      </w:r>
      <w:r>
        <w:t xml:space="preserve">ПАО «</w:t>
      </w:r>
      <w:r>
        <w:t xml:space="preserve">Россети</w:t>
      </w:r>
      <w:r>
        <w:t xml:space="preserve"> Урал»-«Челябэнерго»</w:t>
      </w:r>
      <w:r>
        <w:rPr>
          <w:b/>
        </w:rPr>
      </w:r>
      <w:r>
        <w:rPr>
          <w:b/>
        </w:rPr>
      </w:r>
    </w:p>
    <w:p>
      <w:pPr>
        <w:pStyle w:val="940"/>
      </w:pPr>
      <w:r/>
      <w:r/>
    </w:p>
    <w:p>
      <w:pPr>
        <w:pStyle w:val="940"/>
      </w:pPr>
      <w:r/>
      <w:r/>
    </w:p>
    <w:p>
      <w:pPr>
        <w:pStyle w:val="940"/>
      </w:pPr>
      <w:r/>
      <w:r/>
    </w:p>
    <w:p>
      <w:pPr>
        <w:pStyle w:val="940"/>
      </w:pPr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r/>
      <w:r/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г. </w:t>
      </w:r>
      <w:r>
        <w:rPr>
          <w:b/>
          <w:sz w:val="28"/>
          <w:szCs w:val="28"/>
        </w:rPr>
        <w:t xml:space="preserve">Челябинск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2026</w:t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center"/>
        <w:rPr>
          <w:b/>
        </w:rPr>
        <w:sectPr>
          <w:footerReference w:type="default" r:id="rId9"/>
          <w:footerReference w:type="even" r:id="rId10"/>
          <w:footnotePr/>
          <w:endnotePr/>
          <w:type w:val="nextPage"/>
          <w:pgSz w:w="11906" w:h="16838" w:orient="portrait"/>
          <w:pgMar w:top="1134" w:right="850" w:bottom="1134" w:left="1701" w:header="708" w:footer="708" w:gutter="0"/>
          <w:cols w:num="1" w:sep="0" w:space="708" w:equalWidth="1"/>
          <w:docGrid w:linePitch="360"/>
          <w:titlePg/>
        </w:sect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28"/>
        <w:numPr>
          <w:ilvl w:val="0"/>
          <w:numId w:val="2"/>
        </w:numPr>
        <w:ind w:left="0" w:firstLine="0"/>
        <w:jc w:val="both"/>
        <w:tabs>
          <w:tab w:val="left" w:pos="709" w:leader="none"/>
        </w:tabs>
        <w:rPr>
          <w:i w:val="0"/>
          <w:sz w:val="24"/>
          <w:szCs w:val="24"/>
        </w:rPr>
      </w:pPr>
      <w:r>
        <w:rPr>
          <w:i w:val="0"/>
          <w:sz w:val="24"/>
          <w:szCs w:val="24"/>
        </w:rPr>
        <w:t xml:space="preserve">Общие сведения о предмете </w:t>
      </w:r>
      <w:r>
        <w:rPr>
          <w:i w:val="0"/>
          <w:sz w:val="24"/>
          <w:szCs w:val="24"/>
          <w:highlight w:val="none"/>
        </w:rPr>
        <w:t xml:space="preserve">сравнения цен</w:t>
      </w:r>
      <w:r/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  <w:t xml:space="preserve"> в электронной форме,</w:t>
      </w:r>
      <w:r>
        <w:rPr>
          <w:i w:val="0"/>
          <w:sz w:val="24"/>
          <w:szCs w:val="24"/>
        </w:rPr>
        <w:t xml:space="preserve"> участниками которого могут быть только субъекты МСП (далее - закупка):</w:t>
      </w:r>
      <w:r>
        <w:rPr>
          <w:i w:val="0"/>
          <w:sz w:val="24"/>
          <w:szCs w:val="24"/>
        </w:rPr>
      </w:r>
      <w:r>
        <w:rPr>
          <w:i w:val="0"/>
          <w:sz w:val="24"/>
          <w:szCs w:val="24"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Предмет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pStyle w:val="940"/>
        <w:ind w:left="0" w:firstLine="0"/>
        <w:jc w:val="both"/>
        <w:rPr>
          <w:b/>
        </w:rPr>
      </w:pPr>
      <w:r>
        <w:t xml:space="preserve">Право заключения до</w:t>
      </w:r>
      <w:r>
        <w:t xml:space="preserve">говора о</w:t>
      </w:r>
      <w:r>
        <w:t xml:space="preserve">казание услуг по </w:t>
      </w:r>
      <w:r>
        <w:t xml:space="preserve">у</w:t>
      </w:r>
      <w:r>
        <w:t xml:space="preserve">тилизаци</w:t>
      </w:r>
      <w:r>
        <w:t xml:space="preserve">и</w:t>
      </w:r>
      <w:r>
        <w:t xml:space="preserve"> промышленных отходов для ПО </w:t>
      </w:r>
      <w:r>
        <w:t xml:space="preserve">«</w:t>
      </w:r>
      <w:r>
        <w:t xml:space="preserve">Центральные</w:t>
      </w:r>
      <w:r>
        <w:t xml:space="preserve"> </w:t>
      </w:r>
      <w:r>
        <w:t xml:space="preserve">электрические сети</w:t>
      </w:r>
      <w:r>
        <w:t xml:space="preserve">»</w:t>
      </w:r>
      <w:r>
        <w:t xml:space="preserve"> филиала ПАО «</w:t>
      </w:r>
      <w:r>
        <w:t xml:space="preserve">Россети</w:t>
      </w:r>
      <w:r>
        <w:t xml:space="preserve"> Урал»</w:t>
      </w:r>
      <w:r>
        <w:t xml:space="preserve"> </w:t>
      </w:r>
      <w:r>
        <w:t xml:space="preserve">-</w:t>
      </w:r>
      <w:r>
        <w:t xml:space="preserve"> </w:t>
      </w:r>
      <w:r>
        <w:t xml:space="preserve">«Челябэнерго»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Основание для проведения </w:t>
      </w:r>
      <w:r>
        <w:rPr>
          <w:b/>
        </w:rPr>
        <w:t xml:space="preserve">закупки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426" w:leader="none"/>
          <w:tab w:val="left" w:pos="709" w:leader="none"/>
        </w:tabs>
        <w:rPr>
          <w:highlight w:val="white"/>
        </w:rPr>
      </w:pPr>
      <w:r>
        <w:rPr>
          <w:highlight w:val="white"/>
        </w:rPr>
      </w:r>
      <w:r>
        <w:rPr>
          <w:b w:val="0"/>
          <w:bCs w:val="0"/>
          <w:highlight w:val="white"/>
        </w:rPr>
        <w:t xml:space="preserve">План закупок 2026 года.</w:t>
      </w:r>
      <w:r>
        <w:rPr>
          <w:highlight w:val="white"/>
        </w:rPr>
      </w:r>
      <w:r>
        <w:rPr>
          <w:highlight w:val="white"/>
        </w:rPr>
      </w:r>
    </w:p>
    <w:p>
      <w:pPr>
        <w:jc w:val="both"/>
        <w:spacing w:line="274" w:lineRule="auto"/>
        <w:tabs>
          <w:tab w:val="left" w:pos="709" w:leader="none"/>
        </w:tabs>
      </w:pPr>
      <w:r/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Заказчик:</w:t>
      </w:r>
      <w:r>
        <w:rPr>
          <w:b/>
        </w:rPr>
        <w:t xml:space="preserve"> </w:t>
      </w:r>
      <w:r>
        <w:t xml:space="preserve">П</w:t>
      </w:r>
      <w:r>
        <w:t xml:space="preserve">АО «</w:t>
      </w:r>
      <w:r>
        <w:t xml:space="preserve">Россети</w:t>
      </w:r>
      <w:r>
        <w:t xml:space="preserve"> Урал</w:t>
      </w:r>
      <w:r>
        <w:t xml:space="preserve">» (филиал «</w:t>
      </w:r>
      <w:r>
        <w:t xml:space="preserve">Челябэнерго</w:t>
      </w:r>
      <w:r>
        <w:t xml:space="preserve">»).</w:t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Место</w:t>
      </w:r>
      <w:r>
        <w:t xml:space="preserve"> </w:t>
      </w:r>
      <w:r>
        <w:rPr>
          <w:b/>
        </w:rPr>
        <w:t xml:space="preserve">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  <w:t xml:space="preserve"> </w:t>
      </w:r>
      <w:r>
        <w:t xml:space="preserve">Россия, Челябинская область</w:t>
      </w:r>
      <w:r/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Срок выполнения работ</w:t>
      </w:r>
      <w:r>
        <w:rPr>
          <w:b/>
        </w:rPr>
        <w:t xml:space="preserve">/оказания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jc w:val="both"/>
        <w:tabs>
          <w:tab w:val="left" w:pos="709" w:leader="none"/>
        </w:tabs>
      </w:pPr>
      <w:r>
        <w:t xml:space="preserve">Начало </w:t>
      </w:r>
      <w:r>
        <w:t xml:space="preserve">– </w:t>
      </w:r>
      <w:r>
        <w:t xml:space="preserve">с момента заключения договора</w:t>
      </w:r>
      <w:r>
        <w:t xml:space="preserve">;</w:t>
      </w:r>
      <w:r/>
    </w:p>
    <w:p>
      <w:pPr>
        <w:ind w:firstLine="709"/>
        <w:jc w:val="both"/>
        <w:tabs>
          <w:tab w:val="left" w:pos="709" w:leader="none"/>
        </w:tabs>
      </w:pPr>
      <w:r>
        <w:t xml:space="preserve">Окончание </w:t>
      </w:r>
      <w:r>
        <w:t xml:space="preserve">–</w:t>
      </w:r>
      <w:r>
        <w:t xml:space="preserve"> 30</w:t>
      </w:r>
      <w:r>
        <w:t xml:space="preserve">.12.2026</w:t>
      </w:r>
      <w:r>
        <w:t xml:space="preserve">.</w:t>
      </w:r>
      <w:r>
        <w:t xml:space="preserve"> </w:t>
      </w:r>
      <w:r/>
    </w:p>
    <w:p>
      <w:pPr>
        <w:jc w:val="both"/>
        <w:tabs>
          <w:tab w:val="left" w:pos="709" w:leader="none"/>
        </w:tabs>
      </w:pPr>
      <w:r/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</w:pPr>
      <w:r>
        <w:rPr>
          <w:b/>
        </w:rPr>
        <w:t xml:space="preserve">Источник финансирования:</w:t>
      </w:r>
      <w:r>
        <w:t xml:space="preserve"> </w:t>
      </w:r>
      <w:r>
        <w:t xml:space="preserve">себестоимость</w:t>
      </w:r>
      <w:r/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Ценовые показатели:</w:t>
      </w:r>
      <w:r>
        <w:rPr>
          <w:b/>
        </w:rPr>
      </w:r>
      <w:r>
        <w:rPr>
          <w:b/>
        </w:rPr>
      </w:r>
    </w:p>
    <w:tbl>
      <w:tblPr>
        <w:tblW w:w="9668" w:type="dxa"/>
        <w:tblInd w:w="108" w:type="dxa"/>
        <w:tblLook w:val="04A0" w:firstRow="1" w:lastRow="0" w:firstColumn="1" w:lastColumn="0" w:noHBand="0" w:noVBand="1"/>
      </w:tblPr>
      <w:tblGrid>
        <w:gridCol w:w="1217"/>
        <w:gridCol w:w="3886"/>
        <w:gridCol w:w="2011"/>
        <w:gridCol w:w="1174"/>
        <w:gridCol w:w="1380"/>
      </w:tblGrid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закупка/лот (</w:t>
            </w:r>
            <w:r>
              <w:rPr>
                <w:sz w:val="20"/>
                <w:szCs w:val="20"/>
                <w:lang w:val="en-US"/>
              </w:rPr>
              <w:t xml:space="preserve">ID</w:t>
            </w:r>
            <w:r>
              <w:rPr>
                <w:sz w:val="20"/>
                <w:szCs w:val="20"/>
              </w:rPr>
              <w:t xml:space="preserve"> заявки)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Наименование лота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Начальная (максимальная) цена в руб. с НДС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 </w:t>
            </w:r>
            <w:r>
              <w:rPr>
                <w:sz w:val="20"/>
                <w:szCs w:val="20"/>
              </w:rPr>
              <w:t xml:space="preserve">т.ч</w:t>
            </w:r>
            <w:r>
              <w:rPr>
                <w:sz w:val="20"/>
                <w:szCs w:val="20"/>
              </w:rPr>
              <w:t xml:space="preserve">. НДС,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22</w:t>
            </w:r>
            <w:r>
              <w:rPr>
                <w:sz w:val="20"/>
                <w:szCs w:val="20"/>
              </w:rPr>
              <w:t xml:space="preserve">%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Код ОКПД2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433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1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58043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88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Утилизация промышленных отходов для ПО </w:t>
            </w:r>
            <w:r>
              <w:rPr>
                <w:sz w:val="20"/>
                <w:szCs w:val="20"/>
              </w:rPr>
              <w:t xml:space="preserve">«</w:t>
            </w:r>
            <w:r>
              <w:rPr>
                <w:sz w:val="20"/>
                <w:szCs w:val="20"/>
              </w:rPr>
              <w:t xml:space="preserve">Центральные</w:t>
            </w:r>
            <w:r>
              <w:rPr>
                <w:sz w:val="20"/>
                <w:szCs w:val="20"/>
              </w:rPr>
              <w:t xml:space="preserve"> ЭС</w:t>
            </w:r>
            <w:r>
              <w:rPr>
                <w:sz w:val="20"/>
                <w:szCs w:val="20"/>
              </w:rPr>
              <w:t xml:space="preserve">»</w:t>
            </w:r>
            <w:r>
              <w:rPr>
                <w:sz w:val="20"/>
                <w:szCs w:val="20"/>
              </w:rPr>
              <w:t xml:space="preserve"> филиала ПАО «</w:t>
            </w:r>
            <w:r>
              <w:rPr>
                <w:sz w:val="20"/>
                <w:szCs w:val="20"/>
              </w:rPr>
              <w:t xml:space="preserve">Россети</w:t>
            </w:r>
            <w:r>
              <w:rPr>
                <w:sz w:val="20"/>
                <w:szCs w:val="20"/>
              </w:rPr>
              <w:t xml:space="preserve"> Урал»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-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«Челябэнерго»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01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49</w:t>
            </w:r>
            <w:r>
              <w:rPr>
                <w:sz w:val="20"/>
                <w:szCs w:val="20"/>
              </w:rPr>
              <w:t xml:space="preserve"> </w:t>
            </w:r>
            <w:r>
              <w:rPr>
                <w:sz w:val="20"/>
                <w:szCs w:val="20"/>
              </w:rPr>
              <w:t xml:space="preserve">293</w:t>
            </w:r>
            <w:r>
              <w:rPr>
                <w:sz w:val="20"/>
                <w:szCs w:val="20"/>
              </w:rPr>
              <w:t xml:space="preserve">,60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174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8</w:t>
            </w:r>
            <w:r>
              <w:rPr>
                <w:sz w:val="20"/>
                <w:szCs w:val="20"/>
              </w:rPr>
              <w:t xml:space="preserve"> 889</w:t>
            </w:r>
            <w:r>
              <w:rPr>
                <w:sz w:val="20"/>
                <w:szCs w:val="20"/>
              </w:rPr>
              <w:t xml:space="preserve">,01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tcW w:w="1380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38.22.29.000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1"/>
        <w:numPr>
          <w:ilvl w:val="1"/>
          <w:numId w:val="2"/>
        </w:numPr>
      </w:pPr>
      <w:r>
        <w:rPr>
          <w:b/>
        </w:rPr>
        <w:t xml:space="preserve">Условия оплаты. </w:t>
      </w:r>
      <w:bookmarkStart w:id="1" w:name="_Toc439063131"/>
      <w:r/>
      <w:bookmarkStart w:id="2" w:name="_Toc8120154"/>
      <w:r/>
      <w:r/>
    </w:p>
    <w:p>
      <w:pPr>
        <w:jc w:val="both"/>
      </w:pPr>
      <w:r>
        <w:t xml:space="preserve">Оплата за выполненные работы/оказанные услуги производится по безналичному расчету путем перечисления денежных средств на расчетный счет Исполнител</w:t>
      </w:r>
      <w:r>
        <w:t xml:space="preserve">я в течение </w:t>
      </w:r>
      <w:r>
        <w:t xml:space="preserve">7 (семи</w:t>
      </w:r>
      <w:r>
        <w:t xml:space="preserve">) </w:t>
      </w:r>
      <w:r>
        <w:t xml:space="preserve">рабочих </w:t>
      </w:r>
      <w:r>
        <w:t xml:space="preserve">дней </w:t>
      </w:r>
      <w:r>
        <w:t xml:space="preserve">со дня подписания Заказчиком документа о приемке выполненных работ/оказанных услуг при наличии подписанного Сторонами Договора выполнения работ/оказания услуг в оригинале, в соответствии с п.</w:t>
      </w:r>
      <w:r>
        <w:t xml:space="preserve">2.2.</w:t>
      </w:r>
      <w:r>
        <w:t xml:space="preserve"> Договора (Приложение №</w:t>
      </w:r>
      <w:r>
        <w:t xml:space="preserve">2</w:t>
      </w:r>
      <w:r>
        <w:t xml:space="preserve"> к настоящему ТЗ).</w:t>
      </w:r>
      <w:r/>
    </w:p>
    <w:p>
      <w:pPr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numPr>
          <w:ilvl w:val="1"/>
          <w:numId w:val="2"/>
        </w:numPr>
        <w:ind w:left="0" w:firstLine="0"/>
        <w:jc w:val="both"/>
        <w:tabs>
          <w:tab w:val="left" w:pos="709" w:leader="none"/>
        </w:tabs>
        <w:rPr>
          <w:b/>
        </w:rPr>
      </w:pPr>
      <w:r>
        <w:rPr>
          <w:b/>
        </w:rPr>
        <w:t xml:space="preserve">Требования к организации и ведению работ/оказанию услуг</w:t>
      </w:r>
      <w:r>
        <w:rPr>
          <w:b/>
        </w:rPr>
        <w:t xml:space="preserve">:</w:t>
      </w:r>
      <w:r>
        <w:rPr>
          <w:b/>
        </w:rPr>
      </w:r>
      <w:r>
        <w:rPr>
          <w:b/>
        </w:rPr>
      </w:r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</w:t>
      </w:r>
      <w:r>
        <w:rPr>
          <w:sz w:val="28"/>
          <w:szCs w:val="28"/>
        </w:rPr>
        <w:t xml:space="preserve"> </w:t>
      </w:r>
      <w:r>
        <w:t xml:space="preserve">в соответствии настоящим техническим заданием (далее – ТЗ), договором </w:t>
      </w:r>
      <w:r>
        <w:t xml:space="preserve">выполнения </w:t>
      </w:r>
      <w:r>
        <w:t xml:space="preserve">оказания услуг</w:t>
      </w:r>
      <w:r>
        <w:t xml:space="preserve"> (Приложение №</w:t>
      </w:r>
      <w:r>
        <w:t xml:space="preserve">2</w:t>
      </w:r>
      <w:r>
        <w:t xml:space="preserve"> к настоящему ТЗ)</w:t>
      </w:r>
      <w:r>
        <w:t xml:space="preserve">, 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t xml:space="preserve">У</w:t>
      </w:r>
      <w:r>
        <w:t xml:space="preserve">слуги</w:t>
      </w:r>
      <w:r>
        <w:t xml:space="preserve"> должны быть выполнены с соблюдением требований, действующих РД, СП, СНиП, требованиями ПУЭ, действующим законодательством Российской Федерации.</w:t>
      </w:r>
      <w:r/>
    </w:p>
    <w:p>
      <w:pPr>
        <w:numPr>
          <w:ilvl w:val="2"/>
          <w:numId w:val="2"/>
        </w:numPr>
        <w:ind w:left="0" w:firstLine="0"/>
        <w:jc w:val="both"/>
        <w:tabs>
          <w:tab w:val="left" w:pos="709" w:leader="none"/>
        </w:tabs>
      </w:pPr>
      <w:r>
        <w:rPr>
          <w:highlight w:val="none"/>
        </w:rPr>
        <w:t xml:space="preserve">И</w:t>
      </w:r>
      <w:r>
        <w:rPr>
          <w:highlight w:val="white"/>
        </w:rPr>
        <w:t xml:space="preserve">сполнитель должен самостоятельно (без привлечения субподрядчиков) оказывать услуги, общая стоимость которых должна составлять не менее 50% от цены, указанной в заявке, без учета стоимости материалов и оборудования, приобретаемых Исполнителем</w:t>
      </w:r>
      <w:r>
        <w:rPr>
          <w:highlight w:val="white"/>
        </w:rPr>
        <w:t xml:space="preserve">.</w:t>
      </w:r>
      <w:r>
        <w:rPr>
          <w:highlight w:val="none"/>
        </w:rPr>
      </w:r>
      <w:r/>
    </w:p>
    <w:p>
      <w:pPr>
        <w:jc w:val="both"/>
        <w:tabs>
          <w:tab w:val="left" w:pos="709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73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Организационно-технические требования к Участникам закупки: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74"/>
        <w:numPr>
          <w:ilvl w:val="1"/>
          <w:numId w:val="2"/>
        </w:numPr>
        <w:ind w:left="0" w:firstLine="0"/>
      </w:pPr>
      <w:r>
        <w:t xml:space="preserve">Участник закупки должен соответствовать следующим обязательным требованиям (отборочные требования):</w:t>
      </w:r>
      <w:r/>
    </w:p>
    <w:p>
      <w:pPr>
        <w:pStyle w:val="941"/>
        <w:numPr>
          <w:ilvl w:val="2"/>
          <w:numId w:val="2"/>
        </w:numPr>
        <w:ind w:left="0" w:firstLine="0"/>
        <w:rPr>
          <w:rFonts w:eastAsia="MS Mincho"/>
          <w:szCs w:val="20"/>
          <w:lang w:eastAsia="ja-JP"/>
        </w:rPr>
      </w:pPr>
      <w:r>
        <w:rPr>
          <w:rFonts w:eastAsia="MS Mincho"/>
          <w:lang w:eastAsia="ja-JP"/>
        </w:rPr>
        <w:t xml:space="preserve">Техн</w:t>
      </w:r>
      <w:r>
        <w:rPr>
          <w:rFonts w:eastAsia="MS Mincho"/>
          <w:szCs w:val="20"/>
          <w:lang w:eastAsia="ja-JP"/>
        </w:rPr>
        <w:t xml:space="preserve">ическое предложение участника закупки, в том числе предложение по качеству выполнения работ/ оказания услуг должно соответствовать требованиям Технического задания («Техническая часть» Документации).</w:t>
      </w:r>
      <w:r>
        <w:rPr>
          <w:rFonts w:eastAsia="MS Mincho"/>
          <w:szCs w:val="20"/>
          <w:lang w:eastAsia="ja-JP"/>
        </w:rPr>
      </w:r>
      <w:r>
        <w:rPr>
          <w:rFonts w:eastAsia="MS Mincho"/>
          <w:szCs w:val="20"/>
          <w:lang w:eastAsia="ja-JP"/>
        </w:rPr>
      </w:r>
    </w:p>
    <w:p>
      <w:pPr>
        <w:pStyle w:val="975"/>
        <w:numPr>
          <w:ilvl w:val="2"/>
          <w:numId w:val="2"/>
        </w:numPr>
        <w:contextualSpacing/>
        <w:ind w:left="0" w:firstLine="0"/>
        <w:tabs>
          <w:tab w:val="left" w:pos="709" w:leader="none"/>
        </w:tabs>
        <w:rPr>
          <w:rFonts w:eastAsia="MS Mincho"/>
          <w:lang w:eastAsia="ja-JP"/>
        </w:rPr>
      </w:pPr>
      <w:r>
        <w:rPr>
          <w:rFonts w:eastAsia="MS Mincho"/>
          <w:lang w:eastAsia="ja-JP"/>
        </w:rPr>
        <w:t xml:space="preserve">Иметь в составе заявки комплект документов, </w:t>
      </w:r>
      <w:r>
        <w:rPr>
          <w:rFonts w:eastAsia="MS Mincho"/>
          <w:lang w:eastAsia="ja-JP"/>
        </w:rPr>
        <w:t xml:space="preserve">перечисленный в п.3</w:t>
      </w:r>
      <w:r>
        <w:rPr>
          <w:rFonts w:eastAsia="MS Mincho"/>
          <w:lang w:eastAsia="ja-JP"/>
        </w:rPr>
        <w:t xml:space="preserve"> </w:t>
      </w:r>
      <w:r>
        <w:t xml:space="preserve">настоящего </w:t>
      </w:r>
      <w:r>
        <w:rPr>
          <w:rFonts w:eastAsia="MS Mincho"/>
          <w:lang w:eastAsia="ja-JP"/>
        </w:rPr>
        <w:t xml:space="preserve">ТЗ</w:t>
      </w:r>
      <w:r>
        <w:rPr>
          <w:rFonts w:eastAsia="MS Mincho"/>
          <w:lang w:eastAsia="ja-JP"/>
        </w:rPr>
        <w:t xml:space="preserve">.</w:t>
      </w:r>
      <w:r>
        <w:rPr>
          <w:rFonts w:eastAsia="MS Mincho"/>
          <w:lang w:eastAsia="ja-JP"/>
        </w:rPr>
      </w:r>
      <w:r>
        <w:rPr>
          <w:rFonts w:eastAsia="MS Mincho"/>
          <w:lang w:eastAsia="ja-JP"/>
        </w:rPr>
      </w:r>
    </w:p>
    <w:p>
      <w:pPr>
        <w:pStyle w:val="975"/>
        <w:numPr>
          <w:ilvl w:val="2"/>
          <w:numId w:val="2"/>
        </w:numPr>
        <w:contextualSpacing/>
        <w:ind w:left="0" w:firstLine="0"/>
        <w:tabs>
          <w:tab w:val="left" w:pos="709" w:leader="none"/>
        </w:tabs>
        <w:rPr>
          <w:rFonts w:eastAsia="SimSun"/>
        </w:rPr>
      </w:pPr>
      <w:r>
        <w:t xml:space="preserve">Участником закупки могут быть только су</w:t>
      </w:r>
      <w:r>
        <w:t xml:space="preserve">бъекты малого и среднего предпринимательства, в соответствии с Постановлением Правительства РФ от 11.12.2014 №1352 "Об особенностях участия субъектов малого и среднего предпринимательства в закупках товаров, работ, услуг отдельными видами юридических лиц".</w:t>
      </w:r>
      <w:r>
        <w:rPr>
          <w:rFonts w:eastAsia="SimSun"/>
        </w:rPr>
      </w:r>
      <w:r>
        <w:rPr>
          <w:rFonts w:eastAsia="SimSun"/>
        </w:rPr>
      </w:r>
    </w:p>
    <w:p>
      <w:pPr>
        <w:pStyle w:val="975"/>
        <w:numPr>
          <w:ilvl w:val="2"/>
          <w:numId w:val="2"/>
        </w:numPr>
        <w:contextualSpacing/>
        <w:ind w:left="0" w:firstLine="0"/>
        <w:tabs>
          <w:tab w:val="left" w:pos="709" w:leader="none"/>
        </w:tabs>
        <w:rPr>
          <w:rFonts w:eastAsia="SimSun"/>
        </w:rPr>
      </w:pPr>
      <w:r>
        <w:rPr>
          <w:rFonts w:eastAsia="SimSun"/>
        </w:rPr>
        <w:t xml:space="preserve"> Наличие л</w:t>
      </w:r>
      <w:r>
        <w:rPr>
          <w:rFonts w:eastAsia="SimSun"/>
        </w:rPr>
        <w:t xml:space="preserve">ицензи</w:t>
      </w:r>
      <w:r>
        <w:rPr>
          <w:rFonts w:eastAsia="SimSun"/>
        </w:rPr>
        <w:t xml:space="preserve">и</w:t>
      </w:r>
      <w:r>
        <w:rPr>
          <w:rFonts w:eastAsia="SimSun"/>
        </w:rPr>
        <w:t xml:space="preserve"> </w:t>
      </w:r>
      <w:r>
        <w:rPr>
          <w:rFonts w:eastAsia="SimSun"/>
        </w:rPr>
        <w:t xml:space="preserve">на осуществление </w:t>
      </w:r>
      <w:r>
        <w:rPr>
          <w:rFonts w:eastAsia="SimSun"/>
        </w:rPr>
        <w:t xml:space="preserve">деятельности по</w:t>
      </w:r>
      <w:r>
        <w:rPr>
          <w:rFonts w:eastAsia="SimSun"/>
        </w:rPr>
        <w:t xml:space="preserve"> сбору, транспортированию,</w:t>
      </w:r>
      <w:r>
        <w:rPr>
          <w:rFonts w:eastAsia="SimSun"/>
        </w:rPr>
        <w:t xml:space="preserve"> обработке, утилизации, обезвреживанию, размещению отходов I - IV классов опасности</w:t>
      </w:r>
      <w:r>
        <w:rPr>
          <w:rFonts w:eastAsia="SimSun"/>
        </w:rPr>
        <w:t xml:space="preserve"> или </w:t>
      </w:r>
      <w:r>
        <w:rPr>
          <w:rFonts w:eastAsia="SimSun"/>
        </w:rPr>
        <w:t xml:space="preserve">наличие заключенного </w:t>
      </w:r>
      <w:r>
        <w:rPr>
          <w:rFonts w:eastAsia="SimSun"/>
        </w:rPr>
        <w:t xml:space="preserve">договора с лицензированной организацией</w:t>
      </w:r>
      <w:r>
        <w:rPr>
          <w:rFonts w:eastAsia="SimSun"/>
        </w:rPr>
        <w:t xml:space="preserve"> на следующие виды отходов:</w:t>
      </w:r>
      <w:r>
        <w:rPr>
          <w:rFonts w:eastAsia="SimSun"/>
        </w:rPr>
      </w:r>
      <w:r>
        <w:rPr>
          <w:rFonts w:eastAsia="SimSun"/>
        </w:rPr>
      </w:r>
    </w:p>
    <w:tbl>
      <w:tblPr>
        <w:tblStyle w:val="982"/>
        <w:tblW w:w="9776" w:type="dxa"/>
        <w:tblLook w:val="04A0" w:firstRow="1" w:lastRow="0" w:firstColumn="1" w:lastColumn="0" w:noHBand="0" w:noVBand="1"/>
      </w:tblPr>
      <w:tblGrid>
        <w:gridCol w:w="7508"/>
        <w:gridCol w:w="2268"/>
      </w:tblGrid>
      <w:tr>
        <w:tblPrEx/>
        <w:trPr>
          <w:trHeight w:val="676"/>
        </w:trPr>
        <w:tc>
          <w:tcPr>
            <w:tcW w:w="7508" w:type="dxa"/>
            <w:textDirection w:val="lrTb"/>
            <w:noWrap w:val="false"/>
          </w:tcPr>
          <w:p>
            <w:pPr>
              <w:jc w:val="center"/>
              <w:spacing w:after="60" w:line="283" w:lineRule="exac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Наименование 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  <w:tc>
          <w:tcPr>
            <w:tcW w:w="2268" w:type="dxa"/>
            <w:textDirection w:val="lrTb"/>
            <w:noWrap w:val="false"/>
          </w:tcPr>
          <w:p>
            <w:pPr>
              <w:jc w:val="center"/>
              <w:spacing w:after="60" w:line="283" w:lineRule="exact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 xml:space="preserve">ФККО</w:t>
            </w:r>
            <w:r>
              <w:rPr>
                <w:i/>
                <w:iCs/>
                <w:sz w:val="20"/>
                <w:szCs w:val="20"/>
              </w:rPr>
            </w:r>
            <w:r>
              <w:rPr>
                <w:i/>
                <w:iCs/>
                <w:sz w:val="20"/>
                <w:szCs w:val="20"/>
              </w:rPr>
            </w:r>
          </w:p>
        </w:tc>
      </w:tr>
      <w:tr>
        <w:tblPrEx/>
        <w:trPr/>
        <w:tc>
          <w:tcPr>
            <w:tcW w:w="7508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Обтирочный материал, загрязненный нефтью или нефтепродуктами (содержание нефти или нефтепродуктов 15% и более)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9 19 204 01 60 3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7508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Фильтры очистки масла автотранспортных средств отработанные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9 21 302 01 52 3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7508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Силикагель отработанный, загрязненный нефтью и нефтепродуктами (содержание нефтепродуктов 15% и более)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4 42 503 11 29 3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  <w:tr>
        <w:tblPrEx/>
        <w:trPr/>
        <w:tc>
          <w:tcPr>
            <w:tcW w:w="7508" w:type="dxa"/>
            <w:vAlign w:val="center"/>
            <w:textDirection w:val="lrTb"/>
            <w:noWrap w:val="false"/>
          </w:tcPr>
          <w:p>
            <w:pPr>
              <w:rPr>
                <w:color w:val="000000"/>
              </w:rPr>
            </w:pPr>
            <w:r>
              <w:rPr>
                <w:color w:val="000000"/>
              </w:rPr>
              <w:t xml:space="preserve">Светодиодные лампы, утратившие потребительские свойства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  <w:tc>
          <w:tcPr>
            <w:tcW w:w="226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4 82 415 01 52 4</w:t>
            </w:r>
            <w:r>
              <w:rPr>
                <w:color w:val="000000"/>
              </w:rPr>
            </w:r>
            <w:r>
              <w:rPr>
                <w:color w:val="000000"/>
              </w:rPr>
            </w:r>
          </w:p>
        </w:tc>
      </w:tr>
    </w:tbl>
    <w:p>
      <w:pPr>
        <w:pStyle w:val="975"/>
        <w:numPr>
          <w:ilvl w:val="0"/>
          <w:numId w:val="0"/>
        </w:numPr>
        <w:contextualSpacing/>
        <w:tabs>
          <w:tab w:val="left" w:pos="709" w:leader="none"/>
        </w:tabs>
        <w:rPr>
          <w:rFonts w:eastAsia="SimSun"/>
        </w:rPr>
      </w:pPr>
      <w:r>
        <w:rPr>
          <w:rFonts w:eastAsia="SimSun"/>
        </w:rPr>
      </w:r>
      <w:r>
        <w:rPr>
          <w:rFonts w:eastAsia="SimSun"/>
        </w:rPr>
      </w:r>
      <w:r>
        <w:rPr>
          <w:rFonts w:eastAsia="SimSun"/>
        </w:rPr>
      </w:r>
    </w:p>
    <w:p>
      <w:pPr>
        <w:pStyle w:val="973"/>
        <w:numPr>
          <w:ilvl w:val="0"/>
          <w:numId w:val="2"/>
        </w:numPr>
        <w:ind w:left="0" w:firstLine="0"/>
        <w:jc w:val="both"/>
        <w:pageBreakBefore w:val="0"/>
        <w:tabs>
          <w:tab w:val="left" w:pos="709" w:leader="none"/>
        </w:tabs>
        <w:rPr>
          <w:rFonts w:eastAsia="SimSun"/>
          <w:szCs w:val="24"/>
        </w:rPr>
      </w:pPr>
      <w:r>
        <w:rPr>
          <w:rFonts w:eastAsia="SimSun"/>
          <w:szCs w:val="24"/>
        </w:rPr>
        <w:t xml:space="preserve">Перечень технических документов, обязательно предоставляемых Участниками в составе заявки на закупку:</w:t>
      </w:r>
      <w:r>
        <w:rPr>
          <w:rFonts w:eastAsia="SimSun"/>
          <w:szCs w:val="24"/>
        </w:rPr>
      </w:r>
      <w:r>
        <w:rPr>
          <w:rFonts w:eastAsia="SimSun"/>
          <w:szCs w:val="24"/>
        </w:rPr>
      </w:r>
    </w:p>
    <w:p>
      <w:pPr>
        <w:pStyle w:val="941"/>
        <w:numPr>
          <w:ilvl w:val="1"/>
          <w:numId w:val="2"/>
        </w:numPr>
        <w:ind w:left="0" w:firstLine="0"/>
        <w:jc w:val="both"/>
        <w:rPr>
          <w:szCs w:val="20"/>
        </w:rPr>
      </w:pPr>
      <w:r>
        <w:rPr>
          <w:szCs w:val="20"/>
        </w:rPr>
        <w:t xml:space="preserve">Техническое пр</w:t>
      </w:r>
      <w:r>
        <w:rPr>
          <w:szCs w:val="20"/>
        </w:rPr>
        <w:t xml:space="preserve">едложение, заполненное Участником по форме и в соответствии с инструкциями Приложения №3 к Техническому заданию, с указанием информации о соответствии своего предложения техническим требованиям в объеме, достаточном для анализа выполнения всех требований. </w:t>
      </w:r>
      <w:r>
        <w:rPr>
          <w:szCs w:val="20"/>
        </w:rPr>
      </w:r>
      <w:r>
        <w:rPr>
          <w:szCs w:val="20"/>
        </w:rPr>
      </w:r>
    </w:p>
    <w:p>
      <w:pPr>
        <w:pStyle w:val="975"/>
        <w:numPr>
          <w:ilvl w:val="1"/>
          <w:numId w:val="2"/>
        </w:numPr>
        <w:ind w:left="0" w:firstLine="0"/>
        <w:spacing w:before="0" w:after="0"/>
        <w:tabs>
          <w:tab w:val="left" w:pos="567" w:leader="none"/>
          <w:tab w:val="left" w:pos="1701" w:leader="none"/>
        </w:tabs>
        <w:rPr>
          <w:rFonts w:eastAsia="Calibri"/>
          <w:lang w:eastAsia="en-US"/>
        </w:rPr>
      </w:pPr>
      <w:r>
        <w:t xml:space="preserve">В составе ценового предложения Участник должен предоставить Приложение №4 к Техническому заданию – Расчет стоимости работ/услуг, </w:t>
      </w:r>
      <w:r>
        <w:rPr>
          <w:rFonts w:eastAsia="Calibri"/>
          <w:lang w:eastAsia="en-US"/>
        </w:rPr>
        <w:t xml:space="preserve">заполненное строго по форме Заказчика: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5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Не допускается изменять форму </w:t>
      </w:r>
      <w:r>
        <w:t xml:space="preserve">Приложение №4 к Техническому заданию -</w:t>
      </w:r>
      <w:r>
        <w:rPr>
          <w:rFonts w:eastAsia="Calibri"/>
          <w:lang w:eastAsia="en-US"/>
        </w:rPr>
        <w:t xml:space="preserve"> </w:t>
      </w:r>
      <w:r>
        <w:t xml:space="preserve">Расчет стоимости работ/услуг</w:t>
      </w:r>
      <w:r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5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Цена заявки, объявленная Участником, признанным победителем, является окончательной, неизменной и включает в себя все расходы, в том числе на выплату налогов, оплату всех прочих услуг и затрат.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75"/>
        <w:numPr>
          <w:ilvl w:val="2"/>
          <w:numId w:val="2"/>
        </w:numPr>
        <w:ind w:left="0" w:firstLine="0"/>
        <w:spacing w:before="0" w:after="0"/>
        <w:tabs>
          <w:tab w:val="left" w:pos="709" w:leader="none"/>
          <w:tab w:val="left" w:pos="1701" w:leader="none"/>
        </w:tabs>
        <w:rPr>
          <w:rFonts w:eastAsia="Calibri"/>
          <w:lang w:eastAsia="en-US"/>
        </w:rPr>
      </w:pPr>
      <w:r>
        <w:t xml:space="preserve">Несоответствие Расчета стоимости работ/ услуг, предоставленного Участником в составе заявки, указанным требования является основанием для отклонения заявки Участника.</w:t>
      </w:r>
      <w:r>
        <w:rPr>
          <w:rFonts w:eastAsia="Calibri"/>
          <w:lang w:eastAsia="en-US"/>
        </w:rPr>
      </w:r>
      <w:r>
        <w:rPr>
          <w:rFonts w:eastAsia="Calibri"/>
          <w:lang w:eastAsia="en-US"/>
        </w:rPr>
      </w:r>
    </w:p>
    <w:p>
      <w:pPr>
        <w:pStyle w:val="941"/>
        <w:numPr>
          <w:ilvl w:val="0"/>
          <w:numId w:val="2"/>
        </w:numPr>
        <w:ind w:left="0" w:firstLine="0"/>
        <w:jc w:val="both"/>
        <w:keepLines/>
        <w:spacing w:before="120" w:after="120"/>
        <w:tabs>
          <w:tab w:val="left" w:pos="709" w:leader="none"/>
        </w:tabs>
        <w:rPr>
          <w:b/>
        </w:rPr>
      </w:pPr>
      <w:r>
        <w:rPr>
          <w:b/>
        </w:rPr>
        <w:t xml:space="preserve">Выбор победителя закупки</w:t>
      </w:r>
      <w:r>
        <w:rPr>
          <w:b/>
        </w:rPr>
      </w:r>
      <w:r>
        <w:rPr>
          <w:b/>
        </w:rPr>
      </w:r>
    </w:p>
    <w:p>
      <w:pPr>
        <w:pStyle w:val="965"/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Единственным критерием для определения Победителя является наименьшая цена заявки при условии соответствия самой заявки условиям сравнения цен.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pStyle w:val="965"/>
        <w:ind w:firstLine="709"/>
        <w:jc w:val="both"/>
        <w:spacing w:after="0"/>
        <w:rPr>
          <w:rFonts w:ascii="Times New Roman" w:hAnsi="Times New Roman" w:eastAsia="Times New Roman" w:cs="Times New Roman"/>
          <w:sz w:val="24"/>
          <w:szCs w:val="24"/>
          <w:lang w:eastAsia="ru-RU"/>
        </w:rPr>
      </w:pP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</w:r>
    </w:p>
    <w:p>
      <w:pPr>
        <w:ind w:firstLine="709"/>
        <w:jc w:val="both"/>
        <w:tabs>
          <w:tab w:val="left" w:pos="567" w:leader="none"/>
        </w:tabs>
      </w:pPr>
      <w:r>
        <w:rPr>
          <w:rFonts w:eastAsia="Calibri"/>
        </w:rPr>
        <w:t xml:space="preserve">Если Правительством Российской Федерации в соответствии с законодательством о порядке применения национального режима установлено преимущество в отношении работ, услуг, соответственно выполняемых, оказываемых российским лицом:</w:t>
      </w:r>
      <w:r/>
    </w:p>
    <w:p>
      <w:pPr>
        <w:pStyle w:val="941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а) при рассмотрении, оценке, сопоставлении заявок на участие в конкурентной закупке, заявок на участие в неконкурентной закупке, окончательных предложений осуществляется снижение на 15 (пятнадцать) % ценового предложения, поданного в соответствии с </w:t>
      </w:r>
      <w:r>
        <w:rPr>
          <w:rFonts w:eastAsia="Calibri"/>
        </w:rPr>
        <w:t xml:space="preserve">Законом 223-ФЗ и Стандартом участником закупки, являющимся российским лицом, либо увеличение на 15 (пятнадцать) % ценового предложения этого участника закупки в случае подачи им предложения о размере платы, подлежащей внесению за заключение с ним договора;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1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б) в случае заключения договора с участником закупки, указанным в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 а) настоящего пункта, договор заключается без учета снижения либо увеличения ценового предложения, осуществленных в соответствии с </w:t>
      </w:r>
      <w:r>
        <w:rPr>
          <w:rFonts w:eastAsia="Calibri"/>
        </w:rPr>
        <w:t xml:space="preserve">пп</w:t>
      </w:r>
      <w:r>
        <w:rPr>
          <w:rFonts w:eastAsia="Calibri"/>
        </w:rPr>
        <w:t xml:space="preserve">. а) настоящего пункта;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1"/>
        <w:ind w:left="0" w:firstLine="851"/>
        <w:jc w:val="both"/>
        <w:rPr>
          <w:rFonts w:eastAsia="Calibri"/>
        </w:rPr>
      </w:pPr>
      <w:r>
        <w:rPr>
          <w:rFonts w:eastAsia="Calibri"/>
        </w:rPr>
        <w:t xml:space="preserve">в) перемена подрядчика (исполнителя) (в случае, если эта перемена допускается гражданским законодательством), с которым заключен договор, допускается исключительно на российское лицо, если договор заключен с российским лицом.</w:t>
      </w:r>
      <w:r>
        <w:rPr>
          <w:rFonts w:eastAsia="Calibri"/>
        </w:rPr>
      </w:r>
      <w:r>
        <w:rPr>
          <w:rFonts w:eastAsia="Calibri"/>
        </w:rPr>
      </w:r>
    </w:p>
    <w:p>
      <w:pPr>
        <w:pStyle w:val="941"/>
        <w:ind w:left="45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outlineLvl w:val="0"/>
      </w:pPr>
      <w:r>
        <w:rPr>
          <w:rFonts w:ascii="Times New Roman" w:hAnsi="Times New Roman" w:cs="Times New Roman"/>
          <w:b/>
          <w:i/>
          <w:color w:val="auto"/>
          <w:sz w:val="24"/>
          <w:szCs w:val="24"/>
        </w:rPr>
      </w:r>
      <w:bookmarkEnd w:id="1"/>
      <w:r/>
      <w:bookmarkEnd w:id="2"/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</w:r>
    </w:p>
    <w:p>
      <w:pPr>
        <w:pStyle w:val="941"/>
        <w:ind w:left="0"/>
        <w:jc w:val="both"/>
        <w:tabs>
          <w:tab w:val="left" w:pos="0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1 (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</w:t>
      </w:r>
      <w:bookmarkStart w:id="3" w:name="_Toc439063132"/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). </w:t>
      </w:r>
      <w:r>
        <w:t xml:space="preserve"> </w:t>
      </w:r>
      <w:r>
        <w:t xml:space="preserve">Обоснование начальной (максимальной) цены договора (форма).</w:t>
      </w:r>
      <w:r/>
    </w:p>
    <w:p>
      <w:pPr>
        <w:pStyle w:val="94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i/>
        </w:rPr>
        <w:outlineLvl w:val="0"/>
      </w:pPr>
      <w:r/>
      <w:bookmarkStart w:id="4" w:name="_Toc8120155"/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2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 </w:t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(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bookmarkEnd w:id="4"/>
      <w:r>
        <w:t xml:space="preserve">Проект договора (форма).</w:t>
      </w:r>
      <w:r>
        <w:rPr>
          <w:i/>
        </w:rPr>
        <w:t xml:space="preserve"> </w:t>
      </w:r>
      <w:bookmarkEnd w:id="3"/>
      <w:r>
        <w:rPr>
          <w:i/>
        </w:rPr>
      </w:r>
      <w:r>
        <w:rPr>
          <w:i/>
        </w:rPr>
      </w:r>
    </w:p>
    <w:p>
      <w:pPr>
        <w:pStyle w:val="94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rPr>
          <w:rStyle w:val="961"/>
          <w:rFonts w:ascii="Times New Roman" w:hAnsi="Times New Roman" w:cs="Times New Roman"/>
          <w:color w:val="auto"/>
          <w:sz w:val="24"/>
          <w:szCs w:val="24"/>
        </w:rPr>
        <w:outlineLvl w:val="0"/>
      </w:pP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3 (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  <w:t xml:space="preserve">Техническое предложение (форма).</w:t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  <w:t xml:space="preserve"> </w:t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</w:r>
    </w:p>
    <w:p>
      <w:pPr>
        <w:pStyle w:val="941"/>
        <w:ind w:left="0"/>
        <w:jc w:val="both"/>
        <w:tabs>
          <w:tab w:val="left" w:pos="0" w:leader="none"/>
          <w:tab w:val="left" w:pos="709" w:leader="none"/>
          <w:tab w:val="left" w:pos="1418" w:leader="none"/>
          <w:tab w:val="left" w:pos="2410" w:leader="none"/>
          <w:tab w:val="left" w:pos="2552" w:leader="none"/>
        </w:tabs>
        <w:outlineLvl w:val="0"/>
      </w:pP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Приложение </w:t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4</w:t>
      </w:r>
      <w:r>
        <w:rPr>
          <w:rStyle w:val="961"/>
          <w:rFonts w:ascii="Times New Roman" w:hAnsi="Times New Roman" w:cs="Times New Roman"/>
          <w:b/>
          <w:i/>
          <w:color w:val="auto"/>
          <w:sz w:val="24"/>
          <w:szCs w:val="24"/>
        </w:rPr>
        <w:t xml:space="preserve"> (</w:t>
      </w:r>
      <w:r>
        <w:rPr>
          <w:rStyle w:val="961"/>
          <w:rFonts w:ascii="Times New Roman" w:hAnsi="Times New Roman" w:cs="Times New Roman"/>
          <w:i/>
          <w:color w:val="auto"/>
          <w:sz w:val="24"/>
          <w:szCs w:val="24"/>
        </w:rPr>
        <w:t xml:space="preserve">обязательное). </w:t>
      </w:r>
      <w:r>
        <w:rPr>
          <w:rStyle w:val="961"/>
          <w:rFonts w:ascii="Times New Roman" w:hAnsi="Times New Roman" w:cs="Times New Roman"/>
          <w:color w:val="auto"/>
          <w:sz w:val="24"/>
          <w:szCs w:val="24"/>
        </w:rPr>
        <w:t xml:space="preserve">Расчет</w:t>
      </w:r>
      <w:r>
        <w:t xml:space="preserve"> стоимости работ</w:t>
      </w:r>
      <w:r>
        <w:t xml:space="preserve">/ услуг</w:t>
      </w:r>
      <w:r>
        <w:t xml:space="preserve">.</w:t>
      </w:r>
      <w:r/>
    </w:p>
    <w:p>
      <w:pPr>
        <w:pStyle w:val="941"/>
        <w:ind w:left="450"/>
        <w:jc w:val="both"/>
        <w:tabs>
          <w:tab w:val="left" w:pos="360" w:leader="none"/>
          <w:tab w:val="left" w:pos="993" w:leader="none"/>
        </w:tabs>
        <w:rPr>
          <w:bCs/>
          <w:color w:val="000000"/>
        </w:rPr>
      </w:pPr>
      <w:r>
        <w:rPr>
          <w:bCs/>
          <w:color w:val="000000"/>
        </w:rPr>
      </w:r>
      <w:r>
        <w:rPr>
          <w:bCs/>
          <w:color w:val="000000"/>
        </w:rPr>
      </w:r>
      <w:r>
        <w:rPr>
          <w:bCs/>
          <w:color w:val="000000"/>
        </w:rPr>
      </w:r>
    </w:p>
    <w:p>
      <w:pPr>
        <w:ind w:right="76"/>
        <w:jc w:val="both"/>
        <w:rPr>
          <w:b/>
        </w:rPr>
        <w:sectPr>
          <w:footerReference w:type="default" r:id="rId11"/>
          <w:footnotePr/>
          <w:endnotePr/>
          <w:type w:val="nextPage"/>
          <w:pgSz w:w="11906" w:h="16838" w:orient="portrait"/>
          <w:pgMar w:top="567" w:right="709" w:bottom="567" w:left="1418" w:header="709" w:footer="709" w:gutter="0"/>
          <w:cols w:num="1" w:sep="0" w:space="708" w:equalWidth="1"/>
          <w:docGrid w:linePitch="360"/>
        </w:sectPr>
      </w:pPr>
      <w:r>
        <w:rPr>
          <w:b/>
        </w:rPr>
        <w:t xml:space="preserve">Все приложения к настоящему Техническому заданию являются его неотъемлемой частью и изменению не подлежат.</w:t>
      </w:r>
      <w:r>
        <w:rPr>
          <w:b/>
        </w:rPr>
      </w:r>
      <w:r>
        <w:rPr>
          <w:b/>
        </w:rPr>
      </w:r>
    </w:p>
    <w:p>
      <w:pPr>
        <w:jc w:val="right"/>
        <w:pageBreakBefore/>
      </w:pPr>
      <w:r>
        <w:t xml:space="preserve">Приложение 1 </w:t>
      </w:r>
      <w:r>
        <w:t xml:space="preserve">к Техническому заданию </w:t>
      </w:r>
      <w:r/>
    </w:p>
    <w:p>
      <w:pPr>
        <w:pStyle w:val="96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 xml:space="preserve">(обязательное)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ФОРМА</w:t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pStyle w:val="96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  <w:r>
        <w:rPr>
          <w:rFonts w:ascii="Times New Roman" w:hAnsi="Times New Roman" w:cs="Times New Roman"/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Обоснование начальной (максимальной) цены договора 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оказание услуг по утилизации </w:t>
      </w:r>
      <w:r>
        <w:rPr>
          <w:sz w:val="28"/>
          <w:szCs w:val="28"/>
        </w:rPr>
        <w:t xml:space="preserve">промышленных отходов для ПО </w:t>
      </w:r>
      <w:r>
        <w:rPr>
          <w:sz w:val="28"/>
          <w:szCs w:val="28"/>
        </w:rPr>
        <w:t xml:space="preserve">«</w:t>
      </w:r>
      <w:r>
        <w:rPr>
          <w:sz w:val="28"/>
          <w:szCs w:val="28"/>
        </w:rPr>
        <w:t xml:space="preserve">Центральные</w:t>
      </w:r>
      <w:r>
        <w:rPr>
          <w:sz w:val="28"/>
          <w:szCs w:val="28"/>
        </w:rPr>
        <w:t xml:space="preserve"> электрические сети</w:t>
      </w:r>
      <w:r>
        <w:rPr>
          <w:sz w:val="28"/>
          <w:szCs w:val="28"/>
        </w:rPr>
        <w:t xml:space="preserve">»</w:t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jc w:val="center"/>
        <w:spacing w:after="274" w:line="343" w:lineRule="atLeast"/>
        <w:shd w:val="clear" w:color="auto" w:fill="ffffff"/>
        <w:rPr>
          <w:sz w:val="28"/>
          <w:szCs w:val="28"/>
        </w:rPr>
        <w:outlineLvl w:val="1"/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142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CellMar>
          <w:left w:w="15" w:type="dxa"/>
          <w:top w:w="15" w:type="dxa"/>
          <w:right w:w="15" w:type="dxa"/>
          <w:bottom w:w="15" w:type="dxa"/>
        </w:tblCellMar>
        <w:tblLook w:val="04A0" w:firstRow="1" w:lastRow="0" w:firstColumn="1" w:lastColumn="0" w:noHBand="0" w:noVBand="1"/>
      </w:tblPr>
      <w:tblGrid>
        <w:gridCol w:w="10142"/>
        <w:gridCol w:w="5998"/>
      </w:tblGrid>
      <w:tr>
        <w:tblPrEx/>
        <w:trPr>
          <w:jc w:val="center"/>
        </w:trPr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3142" w:type="pct"/>
            <w:textDirection w:val="lrTb"/>
            <w:noWrap w:val="false"/>
          </w:tcPr>
          <w:p>
            <w:r/>
            <w:bookmarkStart w:id="5" w:name="l55"/>
            <w:r/>
            <w:bookmarkEnd w:id="5"/>
            <w:r>
              <w:t xml:space="preserve">Начальная (максимальная) цена договора </w:t>
            </w:r>
            <w:r/>
          </w:p>
        </w:tc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1858" w:type="pct"/>
            <w:textDirection w:val="lrTb"/>
            <w:noWrap w:val="false"/>
          </w:tcPr>
          <w:p>
            <w:r>
              <w:t xml:space="preserve">49</w:t>
            </w:r>
            <w:r>
              <w:t xml:space="preserve"> 293</w:t>
            </w:r>
            <w:r>
              <w:t xml:space="preserve">,</w:t>
            </w:r>
            <w:r>
              <w:t xml:space="preserve">60</w:t>
            </w:r>
            <w:r>
              <w:t xml:space="preserve"> рублей c НДС 22%</w:t>
            </w:r>
            <w:r/>
          </w:p>
        </w:tc>
      </w:tr>
      <w:tr>
        <w:tblPrEx/>
        <w:trPr>
          <w:jc w:val="center"/>
          <w:trHeight w:val="291"/>
        </w:trPr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3142" w:type="pct"/>
            <w:textDirection w:val="lrTb"/>
            <w:noWrap w:val="false"/>
          </w:tcPr>
          <w:p>
            <w:r>
              <w:t xml:space="preserve">Используемый метод определения начальной (максимальной) цены договора  с обоснованием</w:t>
            </w:r>
            <w:r/>
          </w:p>
        </w:tc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1858" w:type="pct"/>
            <w:textDirection w:val="lrTb"/>
            <w:noWrap w:val="false"/>
          </w:tcPr>
          <w:p>
            <w:pPr>
              <w:pStyle w:val="965"/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  <w:t xml:space="preserve">Метод сопоставимых рыночных цен (анализа рынка)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  <w:r>
              <w:rPr>
                <w:rFonts w:ascii="Times New Roman" w:hAnsi="Times New Roman" w:eastAsia="Times New Roman" w:cs="Times New Roman"/>
                <w:sz w:val="24"/>
                <w:szCs w:val="24"/>
                <w:lang w:eastAsia="ru-RU"/>
              </w:rPr>
            </w:r>
          </w:p>
        </w:tc>
      </w:tr>
      <w:tr>
        <w:tblPrEx/>
        <w:trPr>
          <w:jc w:val="center"/>
          <w:trHeight w:val="470"/>
        </w:trPr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3142" w:type="pct"/>
            <w:textDirection w:val="lrTb"/>
            <w:noWrap w:val="false"/>
          </w:tcPr>
          <w:p>
            <w:pPr>
              <w:widowControl w:val="off"/>
            </w:pPr>
            <w:r>
              <w:t xml:space="preserve"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  <w:r/>
          </w:p>
        </w:tc>
        <w:tc>
          <w:tcPr>
            <w:tcMar>
              <w:left w:w="120" w:type="dxa"/>
              <w:top w:w="60" w:type="dxa"/>
              <w:right w:w="120" w:type="dxa"/>
              <w:bottom w:w="60" w:type="dxa"/>
            </w:tcMar>
            <w:tcW w:w="1858" w:type="pct"/>
            <w:textDirection w:val="lrTb"/>
            <w:noWrap w:val="false"/>
          </w:tcPr>
          <w:p>
            <w:r>
              <w:t xml:space="preserve">Единый стандарт закупок ПАО «</w:t>
            </w:r>
            <w:r>
              <w:t xml:space="preserve">Россети</w:t>
            </w:r>
            <w:r>
              <w:t xml:space="preserve">» (положение о закупке)</w:t>
            </w:r>
            <w:r/>
          </w:p>
        </w:tc>
      </w:tr>
    </w:tbl>
    <w:p>
      <w:pPr>
        <w:spacing w:before="240" w:after="240"/>
        <w:shd w:val="clear" w:color="auto" w:fill="ffffff"/>
        <w:rPr>
          <w:sz w:val="28"/>
          <w:szCs w:val="28"/>
        </w:rPr>
      </w:pPr>
      <w:r>
        <w:t xml:space="preserve">Расчет начальной (максимальной) цены договора</w:t>
      </w:r>
      <w:r>
        <w:rPr>
          <w:sz w:val="28"/>
          <w:szCs w:val="28"/>
        </w:rPr>
      </w:r>
      <w:r>
        <w:rPr>
          <w:sz w:val="28"/>
          <w:szCs w:val="28"/>
        </w:rPr>
      </w:r>
    </w:p>
    <w:tbl>
      <w:tblPr>
        <w:tblW w:w="5122" w:type="pct"/>
        <w:tblInd w:w="-147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3265"/>
        <w:gridCol w:w="992"/>
        <w:gridCol w:w="992"/>
        <w:gridCol w:w="1843"/>
        <w:gridCol w:w="1843"/>
        <w:gridCol w:w="1843"/>
        <w:gridCol w:w="1701"/>
        <w:gridCol w:w="1843"/>
        <w:gridCol w:w="1767"/>
      </w:tblGrid>
      <w:tr>
        <w:tblPrEx/>
        <w:trPr>
          <w:trHeight w:val="427"/>
        </w:trPr>
        <w:tc>
          <w:tcPr>
            <w:shd w:val="clear" w:color="ffffff" w:fill="ffffff"/>
            <w:tcW w:w="3265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</w:t>
            </w:r>
            <w:r>
              <w:rPr>
                <w:bCs/>
                <w:sz w:val="22"/>
                <w:szCs w:val="22"/>
              </w:rPr>
              <w:t xml:space="preserve"> услуг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1984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Объем продукции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6"/>
            <w:shd w:val="clear" w:color="ffffff" w:fill="ffffff"/>
            <w:tcW w:w="10838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Ценовая информация, руб.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tcW w:w="3265" w:type="dxa"/>
            <w:vAlign w:val="center"/>
            <w:vMerge w:val="continue"/>
            <w:textDirection w:val="lrTb"/>
            <w:noWrap w:val="false"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Ед. изм.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Кол-во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3685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1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35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2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gridSpan w:val="2"/>
            <w:shd w:val="clear" w:color="ffffff" w:fill="ffffff"/>
            <w:tcW w:w="3610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Коммерческое предложение № 3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tcW w:w="3265" w:type="dxa"/>
            <w:vAlign w:val="center"/>
            <w:vMerge w:val="continue"/>
            <w:textDirection w:val="lrTb"/>
            <w:noWrap w:val="false"/>
          </w:tcPr>
          <w:p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  <w:r>
              <w:rPr>
                <w:b/>
                <w:bCs/>
                <w:sz w:val="22"/>
                <w:szCs w:val="22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tcW w:w="992" w:type="dxa"/>
            <w:vAlign w:val="center"/>
            <w:vMerge w:val="continue"/>
            <w:textDirection w:val="lrTb"/>
            <w:noWrap w:val="false"/>
          </w:tcPr>
          <w:p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с НДС 22%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с НДС 22%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без НДС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  <w:tc>
          <w:tcPr>
            <w:shd w:val="clear" w:color="ffffff" w:fill="ffffff"/>
            <w:tcW w:w="1767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  <w:highlight w:val="none"/>
              </w:rPr>
            </w:pPr>
            <w:r>
              <w:rPr>
                <w:color w:val="000000"/>
                <w:sz w:val="22"/>
                <w:szCs w:val="22"/>
                <w:highlight w:val="none"/>
              </w:rPr>
              <w:t xml:space="preserve">Цена, руб. с НДС 22%</w:t>
            </w:r>
            <w:r>
              <w:rPr>
                <w:color w:val="000000"/>
                <w:sz w:val="22"/>
                <w:szCs w:val="22"/>
                <w:highlight w:val="none"/>
              </w:rPr>
            </w:r>
            <w:r>
              <w:rPr>
                <w:color w:val="000000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780"/>
        </w:trPr>
        <w:tc>
          <w:tcPr>
            <w:shd w:val="clear" w:color="ffffff" w:fill="ffffff"/>
            <w:tcW w:w="3265" w:type="dxa"/>
            <w:textDirection w:val="lrTb"/>
            <w:noWrap w:val="false"/>
          </w:tcPr>
          <w:p>
            <w:pPr>
              <w:jc w:val="both"/>
              <w:rPr>
                <w:b/>
                <w:i/>
              </w:rPr>
            </w:pPr>
            <w:r>
              <w:t xml:space="preserve">Оказание </w:t>
            </w:r>
            <w:r>
              <w:t xml:space="preserve">услуг по утилизации </w:t>
            </w:r>
            <w:r>
              <w:t xml:space="preserve">промышленных отходов для ПО </w:t>
            </w:r>
            <w:r>
              <w:t xml:space="preserve">«Центральные</w:t>
            </w:r>
            <w:r>
              <w:t xml:space="preserve"> ЭС</w:t>
            </w:r>
            <w:r>
              <w:t xml:space="preserve">»</w:t>
            </w:r>
            <w:r>
              <w:t xml:space="preserve"> филиала ПАО «</w:t>
            </w:r>
            <w:r>
              <w:t xml:space="preserve">Россети</w:t>
            </w:r>
            <w:r>
              <w:t xml:space="preserve"> Урал»</w:t>
            </w:r>
            <w:r>
              <w:t xml:space="preserve"> </w:t>
            </w:r>
            <w:r>
              <w:t xml:space="preserve">-</w:t>
            </w:r>
            <w:r>
              <w:t xml:space="preserve"> </w:t>
            </w:r>
            <w:r>
              <w:t xml:space="preserve">«Челябэнерго»</w:t>
            </w:r>
            <w:r>
              <w:t xml:space="preserve"> </w:t>
            </w:r>
            <w:r>
              <w:t xml:space="preserve">– </w:t>
            </w:r>
            <w:r>
              <w:rPr>
                <w:b/>
                <w:i/>
              </w:rPr>
              <w:t xml:space="preserve">лот № </w:t>
            </w:r>
            <w:r>
              <w:t xml:space="preserve">58043</w:t>
            </w:r>
            <w:r>
              <w:rPr>
                <w:b/>
                <w:i/>
              </w:rPr>
            </w:r>
            <w:r>
              <w:rPr>
                <w:b/>
                <w:i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Тонна</w:t>
            </w:r>
            <w:r>
              <w:rPr>
                <w:color w:val="000000"/>
                <w:sz w:val="22"/>
                <w:szCs w:val="22"/>
              </w:rPr>
            </w:r>
            <w:r>
              <w:rPr>
                <w:color w:val="000000"/>
                <w:sz w:val="22"/>
                <w:szCs w:val="22"/>
              </w:rPr>
            </w:r>
          </w:p>
        </w:tc>
        <w:tc>
          <w:tcPr>
            <w:shd w:val="clear" w:color="ffffff" w:fill="ffffff"/>
            <w:tcW w:w="992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4,33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highlight w:val="green"/>
              </w:rPr>
            </w:pPr>
            <w:r>
              <w:rPr>
                <w:sz w:val="22"/>
              </w:rPr>
            </w:r>
            <w:r>
              <w:rPr>
                <w:sz w:val="22"/>
              </w:rPr>
              <w:t xml:space="preserve">40</w:t>
            </w:r>
            <w:r>
              <w:rPr>
                <w:sz w:val="22"/>
              </w:rPr>
              <w:t xml:space="preserve"> 404</w:t>
            </w:r>
            <w:r>
              <w:rPr>
                <w:sz w:val="22"/>
              </w:rPr>
              <w:t xml:space="preserve">,59</w:t>
            </w:r>
            <w:r>
              <w:rPr>
                <w:sz w:val="22"/>
                <w:highlight w:val="green"/>
              </w:rPr>
            </w:r>
            <w:r>
              <w:rPr>
                <w:sz w:val="22"/>
                <w:highlight w:val="green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49</w:t>
            </w:r>
            <w:r>
              <w:rPr>
                <w:sz w:val="22"/>
              </w:rPr>
              <w:t xml:space="preserve"> 293</w:t>
            </w:r>
            <w:r>
              <w:rPr>
                <w:sz w:val="22"/>
              </w:rPr>
              <w:t xml:space="preserve">,60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233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803</w:t>
            </w:r>
            <w:r>
              <w:rPr>
                <w:sz w:val="22"/>
              </w:rPr>
              <w:t xml:space="preserve">,02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701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285</w:t>
            </w:r>
            <w:r>
              <w:rPr>
                <w:sz w:val="22"/>
              </w:rPr>
              <w:t xml:space="preserve"> 239</w:t>
            </w:r>
            <w:r>
              <w:rPr>
                <w:sz w:val="22"/>
              </w:rPr>
              <w:t xml:space="preserve">,68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84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369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875</w:t>
            </w:r>
            <w:r>
              <w:rPr>
                <w:sz w:val="22"/>
              </w:rPr>
              <w:t xml:space="preserve">,00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  <w:tc>
          <w:tcPr>
            <w:shd w:val="clear" w:color="ffffff" w:fill="ffffff"/>
            <w:tcW w:w="1767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</w:rPr>
            </w:pPr>
            <w:r>
              <w:rPr>
                <w:sz w:val="22"/>
              </w:rPr>
              <w:t xml:space="preserve">451</w:t>
            </w:r>
            <w:r>
              <w:rPr>
                <w:sz w:val="22"/>
              </w:rPr>
              <w:t xml:space="preserve"> </w:t>
            </w:r>
            <w:r>
              <w:rPr>
                <w:sz w:val="22"/>
              </w:rPr>
              <w:t xml:space="preserve">247</w:t>
            </w:r>
            <w:r>
              <w:rPr>
                <w:sz w:val="22"/>
              </w:rPr>
              <w:t xml:space="preserve">,50</w:t>
            </w:r>
            <w:r>
              <w:rPr>
                <w:sz w:val="22"/>
              </w:rPr>
            </w:r>
            <w:r>
              <w:rPr>
                <w:sz w:val="22"/>
              </w:rPr>
            </w:r>
          </w:p>
        </w:tc>
      </w:tr>
    </w:tbl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hd w:val="clear" w:color="auto" w:fill="ffffff"/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851"/>
        <w:shd w:val="clear" w:color="auto" w:fill="ffffff"/>
        <w:rPr>
          <w:sz w:val="28"/>
          <w:szCs w:val="28"/>
        </w:rPr>
        <w:sectPr>
          <w:footnotePr/>
          <w:endnotePr/>
          <w:type w:val="nextPage"/>
          <w:pgSz w:w="16838" w:h="11906" w:orient="landscape"/>
          <w:pgMar w:top="1418" w:right="567" w:bottom="709" w:left="567" w:header="709" w:footer="709" w:gutter="0"/>
          <w:cols w:num="1" w:sep="0" w:space="708" w:equalWidth="1"/>
          <w:docGrid w:linePitch="360"/>
        </w:sect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p>
      <w:pPr>
        <w:ind w:firstLine="709"/>
        <w:jc w:val="right"/>
        <w:pageBreakBefore/>
        <w:tabs>
          <w:tab w:val="left" w:pos="993" w:leader="none"/>
        </w:tabs>
      </w:pPr>
      <w:r>
        <w:t xml:space="preserve">Приложение №3 к Техническому заданию </w:t>
      </w:r>
      <w:r/>
    </w:p>
    <w:p>
      <w:pPr>
        <w:pStyle w:val="940"/>
        <w:jc w:val="center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940"/>
        <w:jc w:val="center"/>
        <w:rPr>
          <w:b/>
          <w:bCs/>
          <w:highlight w:val="none"/>
        </w:rPr>
      </w:pPr>
      <w:r>
        <w:rPr>
          <w:b/>
          <w:highlight w:val="none"/>
        </w:rPr>
        <w:t xml:space="preserve">ФОРМА. ТЕХНИЧЕСКОЕ ПРЕДЛОЖЕНИЕ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pStyle w:val="940"/>
        <w:jc w:val="center"/>
        <w:rPr>
          <w:b/>
          <w:bCs/>
          <w:highlight w:val="none"/>
        </w:rPr>
      </w:pPr>
      <w:r>
        <w:rPr>
          <w:b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rPr>
          <w:highlight w:val="none"/>
        </w:rPr>
      </w:pPr>
      <w:r>
        <w:rPr>
          <w:highlight w:val="none"/>
        </w:rPr>
      </w:r>
      <w:r>
        <w:rPr>
          <w:highlight w:val="none"/>
        </w:rPr>
        <w:t xml:space="preserve">Приложение к письму о подаче оферты </w:t>
      </w:r>
      <w:r>
        <w:rPr>
          <w:highlight w:val="none"/>
        </w:rPr>
      </w:r>
      <w:r>
        <w:rPr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highlight w:val="none"/>
        </w:rPr>
        <w:t xml:space="preserve">от «</w:t>
      </w:r>
      <w:r>
        <w:rPr>
          <w:highlight w:val="none"/>
        </w:rPr>
        <w:t xml:space="preserve">__</w:t>
      </w:r>
      <w:r>
        <w:rPr>
          <w:highlight w:val="none"/>
        </w:rPr>
        <w:t xml:space="preserve">» </w:t>
      </w:r>
      <w:r>
        <w:rPr>
          <w:highlight w:val="none"/>
        </w:rPr>
        <w:t xml:space="preserve">_____</w:t>
      </w:r>
      <w:r>
        <w:rPr>
          <w:highlight w:val="none"/>
        </w:rPr>
        <w:t xml:space="preserve"> 202_</w:t>
      </w:r>
      <w:r>
        <w:rPr>
          <w:highlight w:val="none"/>
        </w:rPr>
        <w:t xml:space="preserve"> </w:t>
      </w:r>
      <w:r>
        <w:rPr>
          <w:highlight w:val="none"/>
        </w:rPr>
        <w:t xml:space="preserve">г</w:t>
      </w:r>
      <w:r>
        <w:rPr>
          <w:highlight w:val="none"/>
        </w:rPr>
        <w:t xml:space="preserve">ода</w:t>
      </w:r>
      <w:r>
        <w:rPr>
          <w:highlight w:val="none"/>
        </w:rPr>
        <w:t xml:space="preserve"> № </w:t>
      </w:r>
      <w:r>
        <w:rPr>
          <w:highlight w:val="none"/>
        </w:rPr>
        <w:t xml:space="preserve">_____</w:t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right"/>
        <w:spacing w:after="0"/>
        <w:rPr>
          <w:b/>
          <w:bCs/>
          <w:highlight w:val="none"/>
        </w:rPr>
      </w:pPr>
      <w:r>
        <w:rPr>
          <w:b/>
          <w:bCs/>
          <w:highlight w:val="none"/>
        </w:rPr>
      </w:r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jc w:val="center"/>
        <w:spacing w:after="0"/>
        <w:rPr>
          <w:b/>
          <w:bCs/>
          <w:highlight w:val="none"/>
        </w:rPr>
      </w:pPr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highlight w:val="none"/>
        </w:rPr>
      </w:r>
      <w:bookmarkStart w:id="0" w:name="undefined"/>
      <w:r>
        <w:rPr>
          <w:b/>
          <w:highlight w:val="none"/>
        </w:rPr>
        <w:t xml:space="preserve">Техническое предложение</w:t>
      </w:r>
      <w:bookmarkEnd w:id="0"/>
      <w:r>
        <w:rPr>
          <w:b/>
          <w:bCs/>
          <w:highlight w:val="none"/>
        </w:rPr>
      </w:r>
      <w:r>
        <w:rPr>
          <w:b/>
          <w:bCs/>
          <w:highlight w:val="none"/>
        </w:rPr>
      </w:r>
    </w:p>
    <w:p>
      <w:pPr>
        <w:ind w:left="0" w:right="0" w:firstLine="0"/>
        <w:tabs>
          <w:tab w:val="left" w:pos="1080" w:leader="none"/>
        </w:tabs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</w:rPr>
        <w:t xml:space="preserve">Способ и наименование закупки</w:t>
      </w:r>
      <w:r>
        <w:rPr>
          <w:b w:val="0"/>
          <w:bCs w:val="0"/>
          <w:sz w:val="24"/>
          <w:szCs w:val="24"/>
          <w:highlight w:val="none"/>
        </w:rPr>
        <w:t xml:space="preserve">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after="0"/>
        <w:rPr>
          <w:b w:val="0"/>
          <w:bCs w:val="0"/>
          <w:sz w:val="24"/>
          <w:szCs w:val="24"/>
          <w:highlight w:val="none"/>
        </w:rPr>
      </w:pPr>
      <w:r>
        <w:rPr>
          <w:b w:val="0"/>
          <w:bCs w:val="0"/>
          <w:sz w:val="24"/>
          <w:szCs w:val="24"/>
          <w:highlight w:val="none"/>
          <w:lang w:eastAsia="ar-SA"/>
        </w:rPr>
        <w:t xml:space="preserve">Участник закупки: ________________________________ </w:t>
      </w:r>
      <w:r>
        <w:rPr>
          <w:b w:val="0"/>
          <w:bCs w:val="0"/>
          <w:sz w:val="24"/>
          <w:szCs w:val="24"/>
          <w:highlight w:val="none"/>
        </w:rPr>
      </w:r>
      <w:r>
        <w:rPr>
          <w:b w:val="0"/>
          <w:bCs w:val="0"/>
          <w:sz w:val="24"/>
          <w:szCs w:val="24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Cs/>
          <w:i/>
          <w:sz w:val="22"/>
          <w:szCs w:val="22"/>
          <w:highlight w:val="none"/>
        </w:rPr>
      </w:pPr>
      <w:r>
        <w:rPr>
          <w:highlight w:val="none"/>
        </w:rPr>
      </w:r>
      <w:r>
        <w:rPr>
          <w:bCs/>
          <w:i/>
          <w:sz w:val="22"/>
          <w:szCs w:val="22"/>
          <w:highlight w:val="none"/>
        </w:rPr>
      </w:r>
      <w:r>
        <w:rPr>
          <w:bCs/>
          <w:i/>
          <w:sz w:val="22"/>
          <w:szCs w:val="22"/>
          <w:highlight w:val="none"/>
        </w:rPr>
      </w:r>
    </w:p>
    <w:p>
      <w:pPr>
        <w:ind w:left="0" w:right="0" w:firstLine="0"/>
        <w:spacing w:line="240" w:lineRule="auto"/>
        <w:tabs>
          <w:tab w:val="left" w:pos="142" w:leader="none"/>
          <w:tab w:val="left" w:pos="283" w:leader="none"/>
          <w:tab w:val="left" w:pos="993" w:leader="none"/>
        </w:tabs>
        <w:rPr>
          <w:b/>
          <w:i/>
          <w:iCs/>
          <w:sz w:val="20"/>
          <w:szCs w:val="20"/>
          <w:highlight w:val="none"/>
        </w:rPr>
      </w:pPr>
      <w:r>
        <w:rPr>
          <w:b/>
          <w:i/>
          <w:iCs/>
          <w:sz w:val="20"/>
          <w:szCs w:val="20"/>
          <w:highlight w:val="none"/>
        </w:rPr>
        <w:t xml:space="preserve">Инструкции по заполнению:</w:t>
      </w:r>
      <w:r>
        <w:rPr>
          <w:b/>
          <w:i/>
          <w:iCs/>
          <w:sz w:val="20"/>
          <w:szCs w:val="20"/>
          <w:highlight w:val="none"/>
        </w:rPr>
      </w:r>
      <w:r>
        <w:rPr>
          <w:b/>
          <w:i/>
          <w:iCs/>
          <w:sz w:val="20"/>
          <w:szCs w:val="20"/>
          <w:highlight w:val="non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Данные инструкции не следует воспроизводить в документах, подготовленных Участником.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Выше приведена форма титульного листа Технического предложения участника. </w:t>
      </w:r>
      <w:r>
        <w:rPr>
          <w:bCs/>
          <w:i/>
          <w:sz w:val="20"/>
          <w:szCs w:val="20"/>
          <w:highlight w:val="white"/>
        </w:rPr>
      </w:r>
      <w:r>
        <w:rPr>
          <w:bCs/>
          <w:i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Участни</w:t>
      </w:r>
      <w:r>
        <w:rPr>
          <w:i/>
          <w:iCs/>
          <w:sz w:val="20"/>
          <w:szCs w:val="20"/>
          <w:highlight w:val="white"/>
        </w:rPr>
        <w:t xml:space="preserve">к закупки приводит номер и дату письма о подаче оферты, приложением к которому является данная форма.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  <w:t xml:space="preserve">Участник закупки, являющийся юридическим лицо</w:t>
      </w:r>
      <w:r>
        <w:rPr>
          <w:i/>
          <w:iCs/>
          <w:sz w:val="20"/>
          <w:szCs w:val="20"/>
          <w:highlight w:val="white"/>
        </w:rPr>
        <w:t xml:space="preserve">м, должен указать свое полное наименование (с указанием организационно-правовой формы) и адрес места нахождения. Участник закупки, являющийся индивидуальным предпринимателем, указывает полностью фамилию, имя, отчество, паспортные данные, адрес регистрации.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bCs/>
          <w:i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  <w:t xml:space="preserve">Участник в Техническом предложении должен подтвердить свое согласие с требованиями Технической части (технического задания)</w:t>
      </w:r>
      <w:r>
        <w:rPr>
          <w:i/>
          <w:iCs/>
          <w:sz w:val="20"/>
          <w:szCs w:val="20"/>
          <w:highlight w:val="white"/>
        </w:rPr>
        <w:t xml:space="preserve">, </w:t>
      </w:r>
      <w:r>
        <w:rPr>
          <w:i/>
          <w:iCs/>
          <w:sz w:val="20"/>
          <w:szCs w:val="20"/>
          <w:highlight w:val="white"/>
        </w:rPr>
        <w:t xml:space="preserve">Проекта</w:t>
      </w:r>
      <w:r>
        <w:rPr>
          <w:i/>
          <w:iCs/>
          <w:sz w:val="20"/>
          <w:szCs w:val="20"/>
          <w:highlight w:val="white"/>
        </w:rPr>
        <w:t xml:space="preserve"> дого</w:t>
      </w:r>
      <w:r>
        <w:rPr>
          <w:i/>
          <w:iCs/>
          <w:sz w:val="20"/>
          <w:szCs w:val="20"/>
          <w:highlight w:val="white"/>
        </w:rPr>
        <w:t xml:space="preserve">вора</w:t>
      </w:r>
      <w:r>
        <w:rPr>
          <w:i/>
          <w:iCs/>
          <w:sz w:val="20"/>
          <w:szCs w:val="20"/>
          <w:highlight w:val="white"/>
        </w:rPr>
        <w:t xml:space="preserve">.</w:t>
      </w:r>
      <w:r>
        <w:rPr>
          <w:bCs/>
          <w:i/>
          <w:sz w:val="20"/>
          <w:szCs w:val="20"/>
          <w:highlight w:val="white"/>
        </w:rPr>
      </w:r>
      <w:r>
        <w:rPr>
          <w:bCs/>
          <w:i/>
          <w:sz w:val="20"/>
          <w:szCs w:val="20"/>
          <w:highlight w:val="white"/>
        </w:rPr>
      </w:r>
    </w:p>
    <w:p>
      <w:pPr>
        <w:numPr>
          <w:ilvl w:val="0"/>
          <w:numId w:val="28"/>
        </w:numPr>
        <w:ind w:left="0" w:right="0" w:firstLine="0"/>
        <w:jc w:val="both"/>
        <w:spacing w:line="240" w:lineRule="auto"/>
        <w:tabs>
          <w:tab w:val="left" w:pos="142" w:leader="none"/>
          <w:tab w:val="left" w:pos="283" w:leader="none"/>
          <w:tab w:val="clear" w:pos="720" w:leader="none"/>
          <w:tab w:val="left" w:pos="993" w:leader="none"/>
        </w:tabs>
        <w:rPr>
          <w:i/>
          <w:iCs/>
          <w:sz w:val="20"/>
          <w:szCs w:val="20"/>
          <w:highlight w:val="white"/>
        </w:rPr>
      </w:pPr>
      <w:r>
        <w:rPr>
          <w:i/>
          <w:iCs/>
          <w:sz w:val="20"/>
          <w:szCs w:val="20"/>
          <w:highlight w:val="white"/>
        </w:rPr>
      </w:r>
      <w:r>
        <w:rPr>
          <w:bCs/>
          <w:i/>
          <w:iCs/>
          <w:sz w:val="20"/>
          <w:szCs w:val="20"/>
          <w:highlight w:val="white"/>
        </w:rPr>
        <w:t xml:space="preserve">Указание формулировки «В соответствии с техническим заданием заказчика», а также копирование текс</w:t>
      </w:r>
      <w:r>
        <w:rPr>
          <w:bCs/>
          <w:i/>
          <w:iCs/>
          <w:sz w:val="20"/>
          <w:szCs w:val="20"/>
          <w:highlight w:val="white"/>
        </w:rPr>
        <w:t xml:space="preserve">та технического задания не приемлемо и является нарушением порядка оформления документа.</w:t>
      </w:r>
      <w:r>
        <w:rPr>
          <w:i/>
          <w:iCs/>
          <w:sz w:val="20"/>
          <w:szCs w:val="20"/>
          <w:highlight w:val="white"/>
        </w:rPr>
      </w:r>
      <w:r>
        <w:rPr>
          <w:i/>
          <w:iCs/>
          <w:sz w:val="20"/>
          <w:szCs w:val="20"/>
          <w:highlight w:val="white"/>
        </w:rPr>
      </w:r>
    </w:p>
    <w:p>
      <w:pPr>
        <w:rPr>
          <w:i/>
          <w:iCs/>
          <w:sz w:val="20"/>
          <w:szCs w:val="20"/>
          <w:highlight w:val="none"/>
        </w:rPr>
      </w:pP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  <w:r>
        <w:rPr>
          <w:i/>
          <w:iCs/>
          <w:sz w:val="20"/>
          <w:szCs w:val="20"/>
          <w:highlight w:val="none"/>
        </w:rPr>
      </w:r>
    </w:p>
    <w:p>
      <w:pPr>
        <w:ind w:left="5387"/>
        <w:pageBreakBefore/>
      </w:pPr>
      <w:r>
        <w:t xml:space="preserve">Приложение №</w:t>
      </w:r>
      <w:r>
        <w:t xml:space="preserve">4</w:t>
      </w:r>
      <w:r>
        <w:t xml:space="preserve"> </w:t>
      </w:r>
      <w:r>
        <w:t xml:space="preserve">к Техническому заданию</w:t>
      </w:r>
      <w:r>
        <w:t xml:space="preserve"> </w:t>
      </w:r>
      <w:r/>
    </w:p>
    <w:p>
      <w:pPr>
        <w:pStyle w:val="953"/>
        <w:ind w:firstLine="397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53"/>
        <w:ind w:firstLine="397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  <w:r>
        <w:rPr>
          <w:rFonts w:ascii="Times New Roman" w:hAnsi="Times New Roman" w:cs="Times New Roman"/>
          <w:b w:val="0"/>
          <w:sz w:val="24"/>
          <w:szCs w:val="24"/>
        </w:rPr>
      </w:r>
    </w:p>
    <w:p>
      <w:pPr>
        <w:pStyle w:val="956"/>
        <w:jc w:val="center"/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Расчет стоимости работ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  <w:t xml:space="preserve">/услуг</w:t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  <w:r>
        <w:rPr>
          <w:rFonts w:ascii="Times New Roman" w:hAnsi="Times New Roman" w:eastAsia="Times New Roman" w:cs="Times New Roman"/>
          <w:b/>
          <w:spacing w:val="0"/>
          <w:sz w:val="24"/>
          <w:szCs w:val="24"/>
        </w:rPr>
      </w:r>
    </w:p>
    <w:tbl>
      <w:tblPr>
        <w:tblW w:w="9778" w:type="dxa"/>
        <w:tblLayout w:type="fixed"/>
        <w:tblLook w:val="04A0" w:firstRow="1" w:lastRow="0" w:firstColumn="1" w:lastColumn="0" w:noHBand="0" w:noVBand="1"/>
      </w:tblPr>
      <w:tblGrid>
        <w:gridCol w:w="531"/>
        <w:gridCol w:w="2866"/>
        <w:gridCol w:w="993"/>
        <w:gridCol w:w="1275"/>
        <w:gridCol w:w="1418"/>
        <w:gridCol w:w="1275"/>
        <w:gridCol w:w="1401"/>
        <w:gridCol w:w="19"/>
      </w:tblGrid>
      <w:tr>
        <w:tblPrEx/>
        <w:trPr>
          <w:trHeight w:val="855"/>
        </w:trPr>
        <w:tc>
          <w:tcPr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№ п/п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Наименование услуг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ind w:left="-106" w:right="-11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Кол</w:t>
            </w:r>
            <w:r>
              <w:rPr>
                <w:bCs/>
                <w:sz w:val="22"/>
                <w:szCs w:val="22"/>
              </w:rPr>
              <w:t xml:space="preserve">-</w:t>
            </w:r>
            <w:r>
              <w:rPr>
                <w:bCs/>
                <w:sz w:val="22"/>
                <w:szCs w:val="22"/>
              </w:rPr>
              <w:t xml:space="preserve">во,</w:t>
            </w:r>
            <w:r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 xml:space="preserve">тн</w:t>
            </w:r>
            <w:r>
              <w:rPr>
                <w:bCs/>
                <w:sz w:val="22"/>
                <w:szCs w:val="22"/>
              </w:rPr>
              <w:t xml:space="preserve">.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Цена за </w:t>
            </w:r>
            <w:r>
              <w:rPr>
                <w:bCs/>
                <w:sz w:val="22"/>
                <w:szCs w:val="22"/>
              </w:rPr>
              <w:t xml:space="preserve">(1шт./</w:t>
            </w:r>
            <w:r>
              <w:rPr>
                <w:bCs/>
                <w:sz w:val="22"/>
                <w:szCs w:val="22"/>
              </w:rPr>
              <w:t xml:space="preserve">ед</w:t>
            </w:r>
            <w:r>
              <w:rPr>
                <w:bCs/>
                <w:sz w:val="22"/>
                <w:szCs w:val="22"/>
              </w:rPr>
              <w:t xml:space="preserve"> ), руб. без НДС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Цена за </w:t>
            </w:r>
            <w:r>
              <w:rPr>
                <w:bCs/>
                <w:sz w:val="22"/>
                <w:szCs w:val="22"/>
              </w:rPr>
              <w:t xml:space="preserve">(1шт./</w:t>
            </w:r>
            <w:r>
              <w:rPr>
                <w:bCs/>
                <w:sz w:val="22"/>
                <w:szCs w:val="22"/>
              </w:rPr>
              <w:t xml:space="preserve">ед</w:t>
            </w:r>
            <w:r>
              <w:rPr>
                <w:bCs/>
                <w:sz w:val="22"/>
                <w:szCs w:val="22"/>
              </w:rPr>
              <w:t xml:space="preserve"> ), руб. с НДС 22%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</w:t>
            </w:r>
            <w:r>
              <w:rPr>
                <w:bCs/>
                <w:sz w:val="22"/>
                <w:szCs w:val="22"/>
              </w:rPr>
              <w:t xml:space="preserve"> руб. без НДС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 w:val="false"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Стоимость </w:t>
            </w:r>
            <w:r>
              <w:rPr>
                <w:bCs/>
                <w:sz w:val="22"/>
                <w:szCs w:val="22"/>
              </w:rPr>
              <w:t xml:space="preserve">руб. с НДС 22%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blPrEx/>
        <w:trPr>
          <w:trHeight w:val="31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3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5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6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7</w: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trHeight w:val="364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Обтирочный материал, загрязненный нефтью или нефтепродуктами (содержание нефти или нефтепродуктов 15% и более)</w:t>
            </w:r>
            <w:r>
              <w:rPr>
                <w:sz w:val="22"/>
                <w:szCs w:val="22"/>
                <w:highlight w:val="white"/>
              </w:rPr>
              <w:t xml:space="preserve"> (</w:t>
            </w:r>
            <w:r>
              <w:rPr>
                <w:sz w:val="22"/>
                <w:szCs w:val="22"/>
                <w:highlight w:val="white"/>
              </w:rPr>
              <w:t xml:space="preserve">Код ФККО: </w:t>
            </w:r>
            <w:r>
              <w:rPr>
                <w:sz w:val="22"/>
                <w:szCs w:val="22"/>
                <w:highlight w:val="white"/>
              </w:rPr>
              <w:t xml:space="preserve">9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19</w:t>
            </w:r>
            <w:r>
              <w:rPr>
                <w:sz w:val="22"/>
                <w:szCs w:val="22"/>
                <w:highlight w:val="white"/>
              </w:rPr>
              <w:t xml:space="preserve"> 2</w:t>
            </w:r>
            <w:r>
              <w:rPr>
                <w:sz w:val="22"/>
                <w:szCs w:val="22"/>
                <w:highlight w:val="white"/>
              </w:rPr>
              <w:t xml:space="preserve">04</w:t>
            </w:r>
            <w:r>
              <w:rPr>
                <w:sz w:val="22"/>
                <w:szCs w:val="22"/>
                <w:highlight w:val="white"/>
              </w:rPr>
              <w:t xml:space="preserve"> 0</w:t>
            </w: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60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3)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1,85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557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,71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,40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093,4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753,95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2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Фильтры очистки масла автотранспортных средств отработанные</w:t>
            </w:r>
            <w:r>
              <w:rPr>
                <w:sz w:val="22"/>
                <w:szCs w:val="22"/>
                <w:highlight w:val="white"/>
              </w:rPr>
              <w:t xml:space="preserve"> (</w:t>
            </w:r>
            <w:r>
              <w:rPr>
                <w:sz w:val="22"/>
                <w:szCs w:val="22"/>
                <w:highlight w:val="white"/>
              </w:rPr>
              <w:t xml:space="preserve">Код ФККО: </w:t>
            </w:r>
            <w:r>
              <w:rPr>
                <w:sz w:val="22"/>
                <w:szCs w:val="22"/>
                <w:highlight w:val="white"/>
              </w:rPr>
              <w:t xml:space="preserve">9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21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302</w:t>
            </w:r>
            <w:r>
              <w:rPr>
                <w:sz w:val="22"/>
                <w:szCs w:val="22"/>
                <w:highlight w:val="white"/>
              </w:rPr>
              <w:t xml:space="preserve"> 0</w:t>
            </w: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52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3)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0,</w:t>
            </w:r>
            <w:r>
              <w:rPr>
                <w:color w:val="000000"/>
                <w:highlight w:val="white"/>
              </w:rPr>
              <w:t xml:space="preserve">6</w:t>
            </w:r>
            <w:r>
              <w:rPr>
                <w:color w:val="000000"/>
                <w:highlight w:val="white"/>
              </w:rPr>
              <w:t xml:space="preserve">6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262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400,00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413,12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11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484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3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textDirection w:val="lrTb"/>
            <w:noWrap w:val="false"/>
          </w:tcPr>
          <w:p>
            <w:pPr>
              <w:rPr>
                <w:color w:val="000000"/>
                <w:sz w:val="22"/>
                <w:highlight w:val="white"/>
              </w:rPr>
            </w:pPr>
            <w:r>
              <w:rPr>
                <w:color w:val="000000"/>
                <w:sz w:val="22"/>
                <w:highlight w:val="white"/>
              </w:rPr>
              <w:t xml:space="preserve">Лом керамических изоляторов</w:t>
            </w:r>
            <w:r>
              <w:rPr>
                <w:color w:val="000000"/>
                <w:sz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</w:rPr>
              <w:t xml:space="preserve">Код ФККО: </w:t>
            </w:r>
            <w:r>
              <w:rPr>
                <w:sz w:val="22"/>
                <w:szCs w:val="22"/>
                <w:highlight w:val="white"/>
              </w:rPr>
              <w:t xml:space="preserve">4 59 110 01 51 5</w:t>
            </w:r>
            <w:r>
              <w:rPr>
                <w:sz w:val="22"/>
                <w:szCs w:val="22"/>
                <w:highlight w:val="white"/>
              </w:rPr>
              <w:t xml:space="preserve">)</w:t>
            </w:r>
            <w:r>
              <w:rPr>
                <w:color w:val="000000"/>
                <w:sz w:val="22"/>
                <w:highlight w:val="white"/>
              </w:rPr>
            </w:r>
            <w:r>
              <w:rPr>
                <w:color w:val="000000"/>
                <w:sz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1,5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238,53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951,00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857,8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926,51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jc w:val="center"/>
              <w:spacing w:line="84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vAlign w:val="center"/>
            <w:textDirection w:val="lrTb"/>
            <w:noWrap w:val="false"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Отходы полиэтиленовой тары незагрязненной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</w:rPr>
              <w:t xml:space="preserve">Код ФККО: </w:t>
            </w:r>
            <w:r>
              <w:rPr>
                <w:color w:val="000000"/>
                <w:highlight w:val="white"/>
              </w:rPr>
              <w:t xml:space="preserve">4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34</w:t>
            </w:r>
            <w:r>
              <w:rPr>
                <w:color w:val="000000"/>
                <w:highlight w:val="white"/>
              </w:rPr>
              <w:t xml:space="preserve"> </w:t>
            </w:r>
            <w:r>
              <w:rPr>
                <w:color w:val="000000"/>
                <w:highlight w:val="white"/>
              </w:rPr>
              <w:t xml:space="preserve">110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04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51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5</w:t>
            </w:r>
            <w:r>
              <w:rPr>
                <w:sz w:val="22"/>
                <w:szCs w:val="22"/>
                <w:highlight w:val="white"/>
              </w:rPr>
              <w:t xml:space="preserve">)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0,08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238,53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951,00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259,08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316,08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jc w:val="center"/>
              <w:spacing w:line="96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5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vAlign w:val="center"/>
            <w:textDirection w:val="lrTb"/>
            <w:noWrap w:val="false"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Отходы бумаги и картона от канцелярской деятельности и делопроизводства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</w:rPr>
              <w:t xml:space="preserve">Код ФККО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</w:rPr>
              <w:t xml:space="preserve">Код ФККО: </w:t>
            </w:r>
            <w:r>
              <w:rPr>
                <w:color w:val="000000"/>
                <w:highlight w:val="white"/>
              </w:rPr>
              <w:t xml:space="preserve">4 05 122 </w:t>
            </w:r>
            <w:r>
              <w:rPr>
                <w:color w:val="000000"/>
                <w:highlight w:val="white"/>
              </w:rPr>
              <w:t xml:space="preserve">0</w:t>
            </w:r>
            <w:r>
              <w:rPr>
                <w:color w:val="000000"/>
                <w:highlight w:val="white"/>
              </w:rPr>
              <w:t xml:space="preserve">2 60 </w:t>
            </w:r>
            <w:r>
              <w:rPr>
                <w:color w:val="000000"/>
                <w:highlight w:val="white"/>
              </w:rPr>
              <w:t xml:space="preserve">5</w:t>
            </w:r>
            <w:r>
              <w:rPr>
                <w:sz w:val="22"/>
                <w:szCs w:val="22"/>
                <w:highlight w:val="white"/>
              </w:rPr>
              <w:t xml:space="preserve">)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0,2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238,53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951,00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647,71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790,20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jc w:val="center"/>
              <w:spacing w:line="108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6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vAlign w:val="center"/>
            <w:textDirection w:val="lrTb"/>
            <w:noWrap w:val="false"/>
          </w:tcPr>
          <w:p>
            <w:pPr>
              <w:rPr>
                <w:bCs/>
                <w:sz w:val="22"/>
                <w:szCs w:val="22"/>
                <w:highlight w:val="white"/>
              </w:rPr>
            </w:pPr>
            <w:r>
              <w:rPr>
                <w:bCs/>
                <w:sz w:val="22"/>
                <w:szCs w:val="22"/>
                <w:highlight w:val="white"/>
              </w:rPr>
              <w:t xml:space="preserve">Силикагель отработанный, загрязненный нефтью и нефтепродуктами (содержание нефти или нефтепродуктов 15% и более)</w:t>
            </w:r>
            <w:r>
              <w:rPr>
                <w:bCs/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</w:rPr>
              <w:t xml:space="preserve">Код ФККО: </w:t>
            </w:r>
            <w:r>
              <w:rPr>
                <w:sz w:val="22"/>
                <w:szCs w:val="22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42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503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11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29</w:t>
            </w:r>
            <w:r>
              <w:rPr>
                <w:sz w:val="22"/>
                <w:szCs w:val="22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3)</w:t>
            </w:r>
            <w:r>
              <w:rPr>
                <w:bCs/>
                <w:sz w:val="22"/>
                <w:szCs w:val="22"/>
                <w:highlight w:val="white"/>
              </w:rPr>
            </w:r>
            <w:r>
              <w:rPr>
                <w:bCs/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0,05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5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943,44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7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251,00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297,17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362,55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jc w:val="center"/>
              <w:spacing w:line="720" w:lineRule="auto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7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vAlign w:val="center"/>
            <w:textDirection w:val="lrTb"/>
            <w:noWrap w:val="false"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Светодиодные лампы, утратившие потребительские свойства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sz w:val="22"/>
                <w:szCs w:val="22"/>
                <w:highlight w:val="white"/>
              </w:rPr>
              <w:t xml:space="preserve">(</w:t>
            </w:r>
            <w:r>
              <w:rPr>
                <w:sz w:val="22"/>
                <w:szCs w:val="22"/>
                <w:highlight w:val="white"/>
              </w:rPr>
              <w:t xml:space="preserve">Код ФККО: </w:t>
            </w:r>
            <w:r>
              <w:rPr>
                <w:color w:val="000000"/>
                <w:highlight w:val="white"/>
              </w:rPr>
              <w:t xml:space="preserve">4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82</w:t>
            </w:r>
            <w:r>
              <w:rPr>
                <w:color w:val="000000"/>
                <w:highlight w:val="white"/>
              </w:rPr>
              <w:t xml:space="preserve"> </w:t>
            </w:r>
            <w:r>
              <w:rPr>
                <w:color w:val="000000"/>
                <w:highlight w:val="white"/>
              </w:rPr>
              <w:t xml:space="preserve">415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01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52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4</w:t>
            </w:r>
            <w:r>
              <w:rPr>
                <w:sz w:val="22"/>
                <w:szCs w:val="22"/>
                <w:highlight w:val="white"/>
              </w:rPr>
              <w:t xml:space="preserve">)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0,15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001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,64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24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402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,00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3 000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,25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spacing w:before="0" w:after="0" w:line="57" w:lineRule="atLeas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 </w:t>
            </w:r>
            <w:r>
              <w:rPr>
                <w:rFonts w:ascii="Times New Roman" w:hAnsi="Times New Roman" w:eastAsia="Times New Roman" w:cs="Times New Roman"/>
                <w:color w:val="000000"/>
                <w:sz w:val="24"/>
                <w:szCs w:val="24"/>
              </w:rPr>
              <w:t xml:space="preserve">660,30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8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vAlign w:val="center"/>
            <w:textDirection w:val="lrTb"/>
            <w:noWrap w:val="false"/>
          </w:tcPr>
          <w:p>
            <w:pPr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Автотранспорт, грузоподъемностью до 20 т</w:t>
            </w:r>
            <w:r>
              <w:rPr>
                <w:color w:val="000000"/>
                <w:highlight w:val="white"/>
              </w:rPr>
              <w:t xml:space="preserve">, рейс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highlight w:val="white"/>
              </w:rPr>
              <w:t xml:space="preserve">1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9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836</w:t>
            </w:r>
            <w:r>
              <w:rPr>
                <w:color w:val="000000"/>
                <w:highlight w:val="white"/>
              </w:rPr>
              <w:t xml:space="preserve">,0</w:t>
            </w:r>
            <w:r>
              <w:rPr>
                <w:color w:val="000000"/>
                <w:highlight w:val="white"/>
              </w:rPr>
              <w:t xml:space="preserve">7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12 000,00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white"/>
              </w:rPr>
            </w:pP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  <w:t xml:space="preserve">9</w:t>
            </w:r>
            <w:r>
              <w:rPr>
                <w:color w:val="000000"/>
                <w:highlight w:val="white"/>
              </w:rPr>
              <w:t xml:space="preserve"> </w:t>
            </w:r>
            <w:r>
              <w:rPr>
                <w:color w:val="000000"/>
                <w:highlight w:val="white"/>
              </w:rPr>
              <w:t xml:space="preserve">836</w:t>
            </w:r>
            <w:r>
              <w:rPr>
                <w:color w:val="000000"/>
                <w:highlight w:val="white"/>
              </w:rPr>
              <w:t xml:space="preserve">,0</w:t>
            </w:r>
            <w:r>
              <w:rPr>
                <w:color w:val="000000"/>
                <w:highlight w:val="white"/>
              </w:rPr>
              <w:t xml:space="preserve">7</w:t>
            </w:r>
            <w:r>
              <w:rPr>
                <w:sz w:val="22"/>
                <w:szCs w:val="22"/>
                <w:highlight w:val="white"/>
              </w:rPr>
            </w:r>
            <w:r>
              <w:rPr>
                <w:sz w:val="22"/>
                <w:szCs w:val="22"/>
                <w:highlight w:val="white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color w:val="000000"/>
                <w:highlight w:val="white"/>
              </w:rPr>
            </w:pPr>
            <w:r>
              <w:rPr>
                <w:color w:val="000000"/>
                <w:highlight w:val="white"/>
              </w:rPr>
              <w:t xml:space="preserve">12 000,00</w:t>
            </w:r>
            <w:r>
              <w:rPr>
                <w:color w:val="000000"/>
                <w:highlight w:val="white"/>
              </w:rPr>
            </w:r>
            <w:r>
              <w:rPr>
                <w:color w:val="000000"/>
                <w:highlight w:val="white"/>
              </w:rPr>
            </w:r>
          </w:p>
        </w:tc>
      </w:tr>
      <w:tr>
        <w:tblPrEx/>
        <w:trPr>
          <w:trHeight w:val="345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2866" w:type="dxa"/>
            <w:textDirection w:val="lrTb"/>
            <w:noWrap w:val="false"/>
          </w:tcPr>
          <w:p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993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</w:r>
            <w:r>
              <w:rPr>
                <w:sz w:val="22"/>
                <w:szCs w:val="22"/>
                <w:highlight w:val="green"/>
              </w:rPr>
            </w:r>
            <w:r>
              <w:rPr>
                <w:sz w:val="22"/>
                <w:szCs w:val="22"/>
                <w:highlight w:val="gree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  <w:highlight w:val="green"/>
              </w:rPr>
            </w:pPr>
            <w:r>
              <w:rPr>
                <w:sz w:val="22"/>
                <w:szCs w:val="22"/>
                <w:highlight w:val="green"/>
              </w:rPr>
            </w:r>
            <w:r>
              <w:rPr>
                <w:sz w:val="22"/>
                <w:szCs w:val="22"/>
                <w:highlight w:val="green"/>
              </w:rPr>
            </w:r>
            <w:r>
              <w:rPr>
                <w:sz w:val="22"/>
                <w:szCs w:val="22"/>
                <w:highlight w:val="green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gridSpan w:val="2"/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20" w:type="dxa"/>
            <w:vAlign w:val="center"/>
            <w:textDirection w:val="lrTb"/>
            <w:noWrap/>
          </w:tcPr>
          <w:p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  <w:tr>
        <w:tblPrEx/>
        <w:trPr>
          <w:gridAfter w:val="1"/>
          <w:trHeight w:val="459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 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52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Заказчика: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40 404,59</w:t>
            </w:r>
            <w:r>
              <w:rPr>
                <w:bCs/>
                <w:szCs w:val="22"/>
              </w:rPr>
            </w:r>
            <w:r>
              <w:rPr>
                <w:bCs/>
                <w:szCs w:val="22"/>
              </w:rPr>
            </w:r>
          </w:p>
        </w:tc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0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Cs w:val="22"/>
              </w:rPr>
            </w:pPr>
            <w:r>
              <w:rPr>
                <w:bCs/>
                <w:szCs w:val="22"/>
              </w:rPr>
              <w:t xml:space="preserve">49 293,60</w:t>
            </w:r>
            <w:r>
              <w:rPr>
                <w:bCs/>
                <w:szCs w:val="22"/>
              </w:rPr>
            </w:r>
            <w:r>
              <w:rPr>
                <w:bCs/>
                <w:szCs w:val="22"/>
              </w:rPr>
            </w:r>
          </w:p>
        </w:tc>
      </w:tr>
      <w:tr>
        <w:tblPrEx/>
        <w:trPr>
          <w:gridAfter w:val="1"/>
          <w:trHeight w:val="423"/>
        </w:trPr>
        <w:tc>
          <w:tcPr>
            <w:shd w:val="clear" w:color="auto" w:fill="auto"/>
            <w:tcBorders>
              <w:top w:val="non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31" w:type="dxa"/>
            <w:vAlign w:val="bottom"/>
            <w:textDirection w:val="lrTb"/>
            <w:noWrap/>
          </w:tcPr>
          <w:p>
            <w:pPr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 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gridSpan w:val="4"/>
            <w:shd w:val="clear" w:color="auto" w:fill="auto"/>
            <w:tcBorders>
              <w:top w:val="none" w:color="000000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6552" w:type="dxa"/>
            <w:vAlign w:val="center"/>
            <w:textDirection w:val="lrTb"/>
            <w:noWrap/>
          </w:tcPr>
          <w:p>
            <w:pPr>
              <w:jc w:val="right"/>
              <w:rPr>
                <w:bCs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Стоимость закупки по оценке Участника: 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275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shd w:val="clear" w:color="auto" w:fill="bdd6ee" w:themeFill="accent1" w:themeFillTint="66"/>
            <w:tcBorders>
              <w:top w:val="single" w:color="auto" w:sz="4" w:space="0"/>
              <w:left w:val="none" w:color="000000" w:sz="4" w:space="0"/>
              <w:bottom w:val="single" w:color="auto" w:sz="4" w:space="0"/>
              <w:right w:val="single" w:color="auto" w:sz="4" w:space="0"/>
            </w:tcBorders>
            <w:tcW w:w="1401" w:type="dxa"/>
            <w:vAlign w:val="center"/>
            <w:textDirection w:val="lrTb"/>
            <w:noWrap/>
          </w:tcPr>
          <w:p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 xml:space="preserve">*</w:t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940"/>
        <w:rPr>
          <w:i/>
        </w:rPr>
      </w:pPr>
      <w:r>
        <w:rPr>
          <w:i/>
        </w:rPr>
        <w:t xml:space="preserve">* заполняется Участником закупки</w:t>
      </w:r>
      <w:r>
        <w:rPr>
          <w:i/>
        </w:rPr>
      </w:r>
      <w:r>
        <w:rPr>
          <w:i/>
        </w:rPr>
      </w:r>
    </w:p>
    <w:p>
      <w:pPr>
        <w:pStyle w:val="953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pStyle w:val="940"/>
        <w:jc w:val="both"/>
      </w:pPr>
      <w:r>
        <w:t xml:space="preserve">Руководитель организации      </w:t>
      </w:r>
      <w:r>
        <w:t xml:space="preserve">                   </w:t>
      </w:r>
      <w:r>
        <w:t xml:space="preserve">подпись                                       ФИО</w:t>
      </w:r>
      <w:r/>
    </w:p>
    <w:p>
      <w:pPr>
        <w:rPr>
          <w:rFonts w:eastAsia="MS Mincho"/>
          <w:b/>
        </w:rPr>
      </w:pPr>
      <w:r>
        <w:rPr>
          <w:rFonts w:eastAsia="MS Mincho"/>
          <w:b/>
        </w:rPr>
      </w:r>
      <w:r>
        <w:rPr>
          <w:rFonts w:eastAsia="MS Mincho"/>
          <w:b/>
        </w:rPr>
      </w:r>
      <w:r>
        <w:rPr>
          <w:rFonts w:eastAsia="MS Mincho"/>
          <w:b/>
        </w:rPr>
      </w:r>
    </w:p>
    <w:p>
      <w:pPr>
        <w:pageBreakBefore/>
      </w:pPr>
      <w:r/>
      <w:r/>
    </w:p>
    <w:p>
      <w:pPr>
        <w:pStyle w:val="928"/>
        <w:ind w:left="567"/>
        <w:jc w:val="center"/>
        <w:tabs>
          <w:tab w:val="left" w:pos="993" w:leader="none"/>
        </w:tabs>
        <w:rPr>
          <w:i w:val="0"/>
          <w:sz w:val="24"/>
        </w:rPr>
      </w:pPr>
      <w:r>
        <w:rPr>
          <w:i w:val="0"/>
          <w:sz w:val="24"/>
        </w:rPr>
        <w:t xml:space="preserve">Лист</w:t>
      </w:r>
      <w:r>
        <w:rPr>
          <w:i w:val="0"/>
          <w:sz w:val="24"/>
        </w:rPr>
        <w:t xml:space="preserve"> согласования</w:t>
      </w:r>
      <w:r>
        <w:rPr>
          <w:i w:val="0"/>
          <w:sz w:val="24"/>
        </w:rPr>
      </w:r>
      <w:r>
        <w:rPr>
          <w:i w:val="0"/>
          <w:sz w:val="24"/>
        </w:rPr>
      </w:r>
    </w:p>
    <w:p>
      <w:pPr>
        <w:pStyle w:val="940"/>
        <w:jc w:val="center"/>
        <w:rPr>
          <w:b/>
        </w:rPr>
      </w:pPr>
      <w:r>
        <w:t xml:space="preserve">Технического задания на проведение </w:t>
      </w:r>
      <w:r>
        <w:t xml:space="preserve">сравнения цен</w:t>
      </w:r>
      <w:r>
        <w:t xml:space="preserve"> в электронной форме</w:t>
      </w:r>
      <w:r>
        <w:t xml:space="preserve">, </w:t>
      </w:r>
      <w:r>
        <w:t xml:space="preserve">участниками которого могут быть только субъекты МСП на право </w:t>
      </w:r>
      <w:r>
        <w:t xml:space="preserve">заключения договора </w:t>
      </w:r>
      <w:r>
        <w:t xml:space="preserve">на </w:t>
      </w:r>
      <w:r>
        <w:t xml:space="preserve">оказание</w:t>
      </w:r>
      <w:r>
        <w:t xml:space="preserve"> </w:t>
      </w:r>
      <w:r>
        <w:t xml:space="preserve">услуг </w:t>
      </w:r>
      <w:r>
        <w:t xml:space="preserve">по утилизации </w:t>
      </w:r>
      <w:r>
        <w:t xml:space="preserve">промышленных отходов для ПО </w:t>
      </w:r>
      <w:r>
        <w:t xml:space="preserve">«</w:t>
      </w:r>
      <w:r>
        <w:t xml:space="preserve">Центральные</w:t>
      </w:r>
      <w:r>
        <w:t xml:space="preserve"> электрические сети</w:t>
      </w:r>
      <w:r>
        <w:t xml:space="preserve">»</w:t>
      </w:r>
      <w:r>
        <w:t xml:space="preserve"> филиала </w:t>
      </w:r>
      <w:r>
        <w:br/>
      </w:r>
      <w:r>
        <w:t xml:space="preserve">ПАО «</w:t>
      </w:r>
      <w:r>
        <w:t xml:space="preserve">Россети</w:t>
      </w:r>
      <w:r>
        <w:t xml:space="preserve"> Урал»-«Челябэнерго»</w:t>
      </w:r>
      <w:r>
        <w:rPr>
          <w:b/>
        </w:rPr>
      </w:r>
      <w:r>
        <w:rPr>
          <w:b/>
        </w:rPr>
      </w:r>
    </w:p>
    <w:p>
      <w:pPr>
        <w:pStyle w:val="940"/>
      </w:pPr>
      <w:r/>
      <w:r/>
    </w:p>
    <w:p>
      <w:pPr>
        <w:contextualSpacing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</w:r>
      <w:r>
        <w:rPr>
          <w:b/>
          <w:sz w:val="28"/>
          <w:szCs w:val="28"/>
        </w:rPr>
      </w:r>
      <w:r>
        <w:rPr>
          <w:b/>
          <w:sz w:val="28"/>
          <w:szCs w:val="28"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Составил:</w:t>
      </w:r>
      <w:r>
        <w:rPr>
          <w:b/>
        </w:rPr>
        <w:tab/>
      </w:r>
      <w:r>
        <w:rPr>
          <w:b/>
        </w:rPr>
        <w:tab/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51" w:type="dxa"/>
        <w:tblLayout w:type="fixed"/>
        <w:tblLook w:val="0000" w:firstRow="0" w:lastRow="0" w:firstColumn="0" w:lastColumn="0" w:noHBand="0" w:noVBand="0"/>
      </w:tblPr>
      <w:tblGrid>
        <w:gridCol w:w="4368"/>
        <w:gridCol w:w="3036"/>
        <w:gridCol w:w="1947"/>
      </w:tblGrid>
      <w:tr>
        <w:tblPrEx/>
        <w:trPr>
          <w:cantSplit/>
          <w:trHeight w:val="3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94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2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436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Ведущий специалист </w:t>
            </w:r>
            <w:r>
              <w:rPr>
                <w:rFonts w:eastAsia="SimSun"/>
              </w:rPr>
              <w:t xml:space="preserve">СУОЭХ </w:t>
            </w:r>
            <w:r>
              <w:rPr>
                <w:rFonts w:eastAsia="SimSun"/>
                <w:sz w:val="22"/>
              </w:rPr>
              <w:t xml:space="preserve">филиала ПАО «</w:t>
            </w:r>
            <w:r>
              <w:rPr>
                <w:rFonts w:eastAsia="SimSun"/>
                <w:sz w:val="22"/>
              </w:rPr>
              <w:t xml:space="preserve">Россети</w:t>
            </w:r>
            <w:r>
              <w:rPr>
                <w:rFonts w:eastAsia="SimSun"/>
                <w:sz w:val="22"/>
              </w:rPr>
              <w:t xml:space="preserve"> Урал» –  «Челябэнерго»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303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Сюзюмов К.А.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947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  <w:t xml:space="preserve">Согласовано:</w:t>
      </w:r>
      <w:r>
        <w:rPr>
          <w:b/>
        </w:rPr>
      </w:r>
      <w:r>
        <w:rPr>
          <w:b/>
        </w:rPr>
      </w:r>
    </w:p>
    <w:p>
      <w:pPr>
        <w:jc w:val="both"/>
        <w:tabs>
          <w:tab w:val="left" w:pos="0" w:leader="none"/>
          <w:tab w:val="left" w:pos="6220" w:leader="none"/>
        </w:tabs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tbl>
      <w:tblPr>
        <w:tblW w:w="9365" w:type="dxa"/>
        <w:tblLayout w:type="fixed"/>
        <w:tblLook w:val="0000" w:firstRow="0" w:lastRow="0" w:firstColumn="0" w:lastColumn="0" w:noHBand="0" w:noVBand="0"/>
      </w:tblPr>
      <w:tblGrid>
        <w:gridCol w:w="562"/>
        <w:gridCol w:w="2977"/>
        <w:gridCol w:w="2126"/>
        <w:gridCol w:w="1418"/>
        <w:gridCol w:w="1276"/>
        <w:gridCol w:w="1006"/>
      </w:tblGrid>
      <w:tr>
        <w:tblPrEx/>
        <w:trPr>
          <w:cantSplit/>
          <w:trHeight w:val="410"/>
        </w:trPr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562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Должность, структурное подразделение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Фамилия, инициалы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69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Сроки 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W w:w="1006" w:type="dxa"/>
            <w:vAlign w:val="center"/>
            <w:vMerge w:val="restart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П</w:t>
            </w:r>
            <w:r>
              <w:rPr>
                <w:b/>
                <w:sz w:val="20"/>
                <w:szCs w:val="20"/>
              </w:rPr>
              <w:t xml:space="preserve">одпись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769"/>
        </w:trPr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  <w:u w:val="single"/>
              </w:rPr>
            </w:pP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  <w:r>
              <w:rPr>
                <w:b/>
                <w:sz w:val="20"/>
                <w:szCs w:val="20"/>
                <w:u w:val="single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</w:t>
            </w:r>
            <w:r>
              <w:rPr>
                <w:b/>
                <w:sz w:val="20"/>
                <w:szCs w:val="20"/>
              </w:rPr>
              <w:t xml:space="preserve">получения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ind w:left="-108" w:right="-108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дата согласования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vMerge w:val="continue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1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Начальник </w:t>
            </w:r>
            <w:r>
              <w:rPr>
                <w:color w:val="000000"/>
              </w:rPr>
              <w:t xml:space="preserve">СУОЭХ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Апрелов Д.В.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2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Начальник УЭ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Семерей Е.Ю.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rFonts w:eastAsia="SimSun"/>
              </w:rPr>
              <w:t xml:space="preserve">3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t xml:space="preserve">Начальник УПО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color w:val="000000"/>
              </w:rPr>
              <w:t xml:space="preserve">Бояршинова Е.Н.</w:t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r/>
            <w:r/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cantSplit/>
          <w:trHeight w:val="574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2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977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2126" w:type="dxa"/>
            <w:vAlign w:val="center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18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27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006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jc w:val="both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tbl>
      <w:tblPr>
        <w:tblW w:w="9366" w:type="dxa"/>
        <w:tblLayout w:type="fixed"/>
        <w:tblLook w:val="0000" w:firstRow="0" w:lastRow="0" w:firstColumn="0" w:lastColumn="0" w:noHBand="0" w:noVBand="0"/>
      </w:tblPr>
      <w:tblGrid>
        <w:gridCol w:w="563"/>
        <w:gridCol w:w="7344"/>
        <w:gridCol w:w="1459"/>
      </w:tblGrid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№ п/п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Замечания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vAlign w:val="center"/>
            <w:textDirection w:val="lrTb"/>
            <w:noWrap w:val="false"/>
          </w:tcPr>
          <w:p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д</w:t>
            </w:r>
            <w:r>
              <w:rPr>
                <w:b/>
                <w:sz w:val="20"/>
                <w:szCs w:val="20"/>
              </w:rPr>
              <w:t xml:space="preserve">ата устранения</w:t>
            </w:r>
            <w:r>
              <w:rPr>
                <w:b/>
                <w:sz w:val="20"/>
                <w:szCs w:val="20"/>
              </w:rPr>
            </w:r>
            <w:r>
              <w:rPr>
                <w:b/>
                <w:sz w:val="20"/>
                <w:szCs w:val="20"/>
              </w:rPr>
            </w:r>
          </w:p>
        </w:tc>
      </w:tr>
      <w:tr>
        <w:tblPrEx/>
        <w:trPr>
          <w:cantSplit/>
          <w:trHeight w:val="625"/>
        </w:trPr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563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7344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tcW w:w="1459" w:type="dxa"/>
            <w:textDirection w:val="lrTb"/>
            <w:noWrap w:val="false"/>
          </w:tcPr>
          <w:p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</w:tr>
    </w:tbl>
    <w:p>
      <w:pPr>
        <w:pStyle w:val="928"/>
        <w:tabs>
          <w:tab w:val="left" w:pos="993" w:leader="none"/>
        </w:tabs>
        <w:rPr>
          <w:sz w:val="28"/>
          <w:szCs w:val="28"/>
        </w:rPr>
      </w:pPr>
      <w:r>
        <w:rPr>
          <w:sz w:val="28"/>
          <w:szCs w:val="28"/>
        </w:rPr>
      </w:r>
      <w:r>
        <w:rPr>
          <w:sz w:val="28"/>
          <w:szCs w:val="28"/>
        </w:rPr>
      </w:r>
      <w:r>
        <w:rPr>
          <w:sz w:val="28"/>
          <w:szCs w:val="28"/>
        </w:rPr>
      </w:r>
    </w:p>
    <w:sectPr>
      <w:footnotePr/>
      <w:endnotePr/>
      <w:type w:val="nextPage"/>
      <w:pgSz w:w="11906" w:h="16838" w:orient="portrait"/>
      <w:pgMar w:top="567" w:right="709" w:bottom="567" w:left="1418" w:header="709" w:footer="709" w:gutter="0"/>
      <w:cols w:num="1" w:sep="0" w:space="708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Calibri">
    <w:panose1 w:val="020F0502020204030204"/>
  </w:font>
  <w:font w:name="MS Mincho">
    <w:panose1 w:val="02020506060505090204"/>
  </w:font>
  <w:font w:name="Segoe UI">
    <w:panose1 w:val="020B0502040204020203"/>
  </w:font>
  <w:font w:name="SimSun">
    <w:panose1 w:val="02010600030101010101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2</w:t>
    </w:r>
    <w:r>
      <w:fldChar w:fldCharType="end"/>
    </w:r>
    <w:r/>
  </w:p>
  <w:p>
    <w:pPr>
      <w:pStyle w:val="935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rPr>
        <w:rStyle w:val="937"/>
      </w:rPr>
      <w:framePr w:wrap="around" w:vAnchor="text" w:hAnchor="margin" w:xAlign="center" w:y="1"/>
    </w:pPr>
    <w:r>
      <w:rPr>
        <w:rStyle w:val="937"/>
      </w:rPr>
      <w:fldChar w:fldCharType="begin"/>
    </w:r>
    <w:r>
      <w:rPr>
        <w:rStyle w:val="937"/>
      </w:rPr>
      <w:instrText xml:space="preserve">PAGE  </w:instrText>
    </w:r>
    <w:r>
      <w:rPr>
        <w:rStyle w:val="937"/>
      </w:rPr>
      <w:fldChar w:fldCharType="end"/>
    </w:r>
    <w:r>
      <w:rPr>
        <w:rStyle w:val="937"/>
      </w:rPr>
    </w:r>
    <w:r>
      <w:rPr>
        <w:rStyle w:val="937"/>
      </w:rPr>
    </w:r>
  </w:p>
  <w:p>
    <w:pPr>
      <w:pStyle w:val="935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935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t xml:space="preserve">8</w:t>
    </w:r>
    <w:r>
      <w:fldChar w:fldCharType="end"/>
    </w:r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lowerLetter"/>
      <w:isLgl w:val="false"/>
      <w:suff w:val="tab"/>
      <w:lvlText w:val="%1)"/>
      <w:lvlJc w:val="left"/>
      <w:pPr>
        <w:ind w:left="72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5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multiLevelType w:val="hybridMultilevel"/>
    <w:lvl w:ilvl="0">
      <w:start w:val="1"/>
      <w:numFmt w:val="bullet"/>
      <w:isLgl w:val="false"/>
      <w:suff w:val="tab"/>
      <w:lvlText w:val=""/>
      <w:lvlJc w:val="left"/>
      <w:pPr>
        <w:ind w:left="720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007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727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447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167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887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607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327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047" w:hanging="360"/>
      </w:pPr>
      <w:rPr>
        <w:rFonts w:hint="default" w:ascii="Wingdings" w:hAnsi="Wingdings"/>
      </w:r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200" w:hanging="360"/>
        <w:tabs>
          <w:tab w:val="num" w:pos="120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1920" w:hanging="180"/>
        <w:tabs>
          <w:tab w:val="num" w:pos="192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640" w:hanging="360"/>
        <w:tabs>
          <w:tab w:val="num" w:pos="264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360" w:hanging="360"/>
        <w:tabs>
          <w:tab w:val="num" w:pos="336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080" w:hanging="180"/>
        <w:tabs>
          <w:tab w:val="num" w:pos="408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4800" w:hanging="360"/>
        <w:tabs>
          <w:tab w:val="num" w:pos="480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520" w:hanging="360"/>
        <w:tabs>
          <w:tab w:val="num" w:pos="552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240" w:hanging="180"/>
        <w:tabs>
          <w:tab w:val="num" w:pos="6240" w:leader="none"/>
        </w:tabs>
      </w:pPr>
    </w:lvl>
  </w:abstractNum>
  <w:abstractNum w:abstractNumId="8">
    <w:multiLevelType w:val="hybridMultilevel"/>
    <w:styleLink w:val="976"/>
    <w:lvl w:ilvl="0">
      <w:start w:val="1"/>
      <w:numFmt w:val="decimal"/>
      <w:pStyle w:val="973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974"/>
      <w:isLgl w:val="false"/>
      <w:suff w:val="tab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975"/>
      <w:isLgl w:val="false"/>
      <w:suff w:val="tab"/>
      <w:lvlText w:val="%1.%2.%3."/>
      <w:lvlJc w:val="left"/>
      <w:pPr>
        <w:ind w:left="1135" w:hanging="567"/>
      </w:pPr>
      <w:rPr>
        <w:rFonts w:hint="default"/>
      </w:rPr>
    </w:lvl>
    <w:lvl w:ilvl="3">
      <w:start w:val="1"/>
      <w:numFmt w:val="decimal"/>
      <w:pStyle w:val="977"/>
      <w:isLgl w:val="false"/>
      <w:suff w:val="tab"/>
      <w:lvlText w:val="%1.%2.%3.%4."/>
      <w:lvlJc w:val="left"/>
      <w:pPr>
        <w:ind w:left="1816" w:hanging="681"/>
      </w:pPr>
      <w:rPr>
        <w:rFonts w:hint="default"/>
      </w:rPr>
    </w:lvl>
    <w:lvl w:ilvl="4">
      <w:start w:val="1"/>
      <w:numFmt w:val="decimal"/>
      <w:pStyle w:val="978"/>
      <w:isLgl w:val="false"/>
      <w:suff w:val="tab"/>
      <w:lvlText w:val="%1.%2.%3.%4.%5."/>
      <w:lvlJc w:val="left"/>
      <w:pPr>
        <w:ind w:left="1304" w:hanging="794"/>
      </w:pPr>
      <w:rPr>
        <w:rFonts w:hint="default"/>
      </w:rPr>
    </w:lvl>
    <w:lvl w:ilvl="5">
      <w:start w:val="1"/>
      <w:numFmt w:val="russianLower"/>
      <w:lvlRestart w:val="4"/>
      <w:pStyle w:val="979"/>
      <w:isLgl w:val="false"/>
      <w:suff w:val="tab"/>
      <w:lvlText w:val="%6)"/>
      <w:lvlJc w:val="left"/>
      <w:pPr>
        <w:ind w:left="340" w:hanging="340"/>
      </w:pPr>
      <w:rPr>
        <w:rFonts w:hint="default"/>
      </w:rPr>
    </w:lvl>
    <w:lvl w:ilvl="6">
      <w:start w:val="1"/>
      <w:numFmt w:val="decimal"/>
      <w:pStyle w:val="980"/>
      <w:isLgl w:val="false"/>
      <w:suff w:val="nothing"/>
      <w:lvlText w:val="Форма %7"/>
      <w:lvlJc w:val="right"/>
      <w:pPr>
        <w:ind w:left="14455" w:firstLine="288"/>
      </w:pPr>
      <w:rPr>
        <w:rFonts w:hint="default"/>
      </w:rPr>
    </w:lvl>
    <w:lvl w:ilvl="7">
      <w:start w:val="1"/>
      <w:numFmt w:val="lowerLetter"/>
      <w:isLgl w:val="false"/>
      <w:suff w:val="tab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isLgl w:val="false"/>
      <w:suff w:val="tab"/>
      <w:lvlText w:val="%9."/>
      <w:lvlJc w:val="left"/>
      <w:pPr>
        <w:ind w:left="3240" w:hanging="360"/>
      </w:pPr>
      <w:rPr>
        <w:rFonts w:hint="default"/>
      </w:rPr>
    </w:lvl>
  </w:abstractNum>
  <w:abstractNum w:abstractNumId="9">
    <w:multiLevelType w:val="hybridMultilevel"/>
    <w:lvl w:ilvl="0">
      <w:start w:val="9"/>
      <w:numFmt w:val="decimal"/>
      <w:isLgl w:val="false"/>
      <w:suff w:val="tab"/>
      <w:lvlText w:val="%1."/>
      <w:lvlJc w:val="left"/>
      <w:pPr>
        <w:ind w:left="1428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8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8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8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8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8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8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8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8" w:hanging="180"/>
      </w:pPr>
    </w:lvl>
  </w:abstractNum>
  <w:abstractNum w:abstractNumId="10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92" w:hanging="432"/>
      </w:pPr>
      <w:rPr>
        <w:b w:val="0"/>
        <w:i w:val="0"/>
        <w:color w:val="auto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</w:pPr>
    </w:lvl>
  </w:abstractNum>
  <w:abstractNum w:abstractNumId="12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5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90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62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34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06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78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50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22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94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660" w:hanging="180"/>
      </w:pPr>
    </w:lvl>
  </w:abstractNum>
  <w:abstractNum w:abstractNumId="1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1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4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6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540" w:hanging="540"/>
      </w:pPr>
      <w:rPr>
        <w:rFonts w:hint="default"/>
      </w:rPr>
    </w:lvl>
    <w:lvl w:ilvl="2">
      <w:start w:val="7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9">
    <w:multiLevelType w:val="hybridMultilevel"/>
    <w:numStyleLink w:val="976"/>
    <w:lvl w:ilvl="0">
      <w:start w:val="1"/>
      <w:numFmt w:val="bullet"/>
      <w:isLgl w:val="false"/>
      <w:suff w:val="tab"/>
      <w:lvlText w:val="·"/>
      <w:lvlJc w:val="left"/>
      <w:pPr>
        <w:ind w:left="720" w:hanging="360"/>
      </w:pPr>
      <w:rPr>
        <w:rFonts w:hint="default" w:ascii="Symbol" w:hAnsi="Symbol" w:eastAsia="Symbol" w:cs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</w:pPr>
      <w:rPr>
        <w:rFonts w:hint="default" w:ascii="Courier New" w:hAnsi="Courier New" w:eastAsia="Courier New" w:cs="Courier New"/>
      </w:rPr>
    </w:lvl>
    <w:lvl w:ilvl="2">
      <w:start w:val="1"/>
      <w:numFmt w:val="bullet"/>
      <w:isLgl w:val="false"/>
      <w:suff w:val="tab"/>
      <w:lvlText w:val="§"/>
      <w:lvlJc w:val="left"/>
      <w:pPr>
        <w:ind w:left="2160" w:hanging="360"/>
      </w:pPr>
      <w:rPr>
        <w:rFonts w:hint="default" w:ascii="Wingdings" w:hAnsi="Wingdings" w:eastAsia="Wingdings" w:cs="Wingdings"/>
      </w:rPr>
    </w:lvl>
    <w:lvl w:ilvl="3">
      <w:start w:val="1"/>
      <w:numFmt w:val="bullet"/>
      <w:isLgl w:val="false"/>
      <w:suff w:val="tab"/>
      <w:lvlText w:val="·"/>
      <w:lvlJc w:val="left"/>
      <w:pPr>
        <w:ind w:left="2880" w:hanging="360"/>
      </w:pPr>
      <w:rPr>
        <w:rFonts w:hint="default" w:ascii="Symbol" w:hAnsi="Symbol" w:eastAsia="Symbol" w:cs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</w:pPr>
      <w:rPr>
        <w:rFonts w:hint="default" w:ascii="Courier New" w:hAnsi="Courier New" w:eastAsia="Courier New" w:cs="Courier New"/>
      </w:rPr>
    </w:lvl>
    <w:lvl w:ilvl="5">
      <w:start w:val="1"/>
      <w:numFmt w:val="bullet"/>
      <w:isLgl w:val="false"/>
      <w:suff w:val="tab"/>
      <w:lvlText w:val="§"/>
      <w:lvlJc w:val="left"/>
      <w:pPr>
        <w:ind w:left="4320" w:hanging="360"/>
      </w:pPr>
      <w:rPr>
        <w:rFonts w:hint="default" w:ascii="Wingdings" w:hAnsi="Wingdings" w:eastAsia="Wingdings" w:cs="Wingdings"/>
      </w:rPr>
    </w:lvl>
    <w:lvl w:ilvl="6">
      <w:start w:val="1"/>
      <w:numFmt w:val="bullet"/>
      <w:isLgl w:val="false"/>
      <w:suff w:val="tab"/>
      <w:lvlText w:val="·"/>
      <w:lvlJc w:val="left"/>
      <w:pPr>
        <w:ind w:left="5040" w:hanging="360"/>
      </w:pPr>
      <w:rPr>
        <w:rFonts w:hint="default" w:ascii="Symbol" w:hAnsi="Symbol" w:eastAsia="Symbol" w:cs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</w:pPr>
      <w:rPr>
        <w:rFonts w:hint="default" w:ascii="Courier New" w:hAnsi="Courier New" w:eastAsia="Courier New" w:cs="Courier New"/>
      </w:rPr>
    </w:lvl>
    <w:lvl w:ilvl="8">
      <w:start w:val="1"/>
      <w:numFmt w:val="bullet"/>
      <w:isLgl w:val="false"/>
      <w:suff w:val="tab"/>
      <w:lvlText w:val="§"/>
      <w:lvlJc w:val="left"/>
      <w:pPr>
        <w:ind w:left="6480" w:hanging="360"/>
      </w:pPr>
      <w:rPr>
        <w:rFonts w:hint="default" w:ascii="Wingdings" w:hAnsi="Wingdings" w:eastAsia="Wingdings" w:cs="Wingdings"/>
      </w:rPr>
    </w:lvl>
  </w:abstractNum>
  <w:abstractNum w:abstractNumId="2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60" w:hanging="360"/>
        <w:tabs>
          <w:tab w:val="num" w:pos="1260" w:leader="none"/>
        </w:tabs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80" w:hanging="360"/>
        <w:tabs>
          <w:tab w:val="num" w:pos="198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700" w:hanging="180"/>
        <w:tabs>
          <w:tab w:val="num" w:pos="270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420" w:hanging="360"/>
        <w:tabs>
          <w:tab w:val="num" w:pos="342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140" w:hanging="360"/>
        <w:tabs>
          <w:tab w:val="num" w:pos="414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860" w:hanging="180"/>
        <w:tabs>
          <w:tab w:val="num" w:pos="486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580" w:hanging="360"/>
        <w:tabs>
          <w:tab w:val="num" w:pos="558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300" w:hanging="360"/>
        <w:tabs>
          <w:tab w:val="num" w:pos="630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020" w:hanging="180"/>
        <w:tabs>
          <w:tab w:val="num" w:pos="7020" w:leader="none"/>
        </w:tabs>
      </w:pPr>
    </w:lvl>
  </w:abstractNum>
  <w:abstractNum w:abstractNumId="21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  <w:color w:val="auto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3">
    <w:multiLevelType w:val="hybridMultilevel"/>
    <w:lvl w:ilvl="0">
      <w:start w:val="4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5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6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tabs>
          <w:tab w:val="num" w:pos="720" w:leader="none"/>
        </w:tabs>
      </w:pPr>
      <w:rPr>
        <w:rFonts w:ascii="Times New Roman" w:hAnsi="Times New Roman" w:eastAsia="Times New Roman" w:cs="Times New Roman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2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450" w:hanging="450"/>
      </w:pPr>
      <w:rPr>
        <w:rFonts w:hint="default"/>
        <w:i w:val="0"/>
      </w:rPr>
    </w:lvl>
    <w:lvl w:ilvl="1">
      <w:start w:val="1"/>
      <w:numFmt w:val="decimal"/>
      <w:isLgl w:val="false"/>
      <w:suff w:val="tab"/>
      <w:lvlText w:val="%1.%2."/>
      <w:lvlJc w:val="left"/>
      <w:pPr>
        <w:ind w:left="720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</w:pPr>
      <w:rPr>
        <w:rFonts w:hint="default"/>
        <w:b w:val="0"/>
        <w:i w:val="0"/>
        <w:color w:val="auto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8"/>
  </w:num>
  <w:num w:numId="3">
    <w:abstractNumId w:val="9"/>
  </w:num>
  <w:num w:numId="4">
    <w:abstractNumId w:val="1"/>
  </w:num>
  <w:num w:numId="5">
    <w:abstractNumId w:val="7"/>
  </w:num>
  <w:num w:numId="6">
    <w:abstractNumId w:val="14"/>
  </w:num>
  <w:num w:numId="7">
    <w:abstractNumId w:val="20"/>
  </w:num>
  <w:num w:numId="8">
    <w:abstractNumId w:val="5"/>
  </w:num>
  <w:num w:numId="9">
    <w:abstractNumId w:val="2"/>
  </w:num>
  <w:num w:numId="10">
    <w:abstractNumId w:val="22"/>
  </w:num>
  <w:num w:numId="11">
    <w:abstractNumId w:val="16"/>
  </w:num>
  <w:num w:numId="12">
    <w:abstractNumId w:val="10"/>
  </w:num>
  <w:num w:numId="13">
    <w:abstractNumId w:val="12"/>
  </w:num>
  <w:num w:numId="14">
    <w:abstractNumId w:val="15"/>
  </w:num>
  <w:num w:numId="15">
    <w:abstractNumId w:val="3"/>
  </w:num>
  <w:num w:numId="16">
    <w:abstractNumId w:val="4"/>
  </w:num>
  <w:num w:numId="17">
    <w:abstractNumId w:val="6"/>
  </w:num>
  <w:num w:numId="18">
    <w:abstractNumId w:val="17"/>
  </w:num>
  <w:num w:numId="19">
    <w:abstractNumId w:val="0"/>
  </w:num>
  <w:num w:numId="20">
    <w:abstractNumId w:val="21"/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3"/>
  </w:num>
  <w:num w:numId="23">
    <w:abstractNumId w:val="8"/>
  </w:num>
  <w:num w:numId="24">
    <w:abstractNumId w:val="19"/>
    <w:lvlOverride w:ilvl="0">
      <w:lvl w:ilvl="0">
        <w:start w:val="1"/>
        <w:numFmt w:val="decimal"/>
        <w:pStyle w:val="973"/>
        <w:isLgl w:val="false"/>
        <w:suff w:val="tab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974"/>
        <w:isLgl w:val="false"/>
        <w:suff w:val="tab"/>
        <w:lvlText w:val="%1.%2."/>
        <w:lvlJc w:val="left"/>
        <w:pPr>
          <w:ind w:left="0" w:firstLine="0"/>
        </w:pPr>
        <w:rPr>
          <w:rFonts w:hint="default"/>
          <w:b/>
        </w:rPr>
      </w:lvl>
    </w:lvlOverride>
    <w:lvlOverride w:ilvl="2">
      <w:lvl w:ilvl="2">
        <w:start w:val="1"/>
        <w:numFmt w:val="decimal"/>
        <w:pStyle w:val="975"/>
        <w:isLgl w:val="false"/>
        <w:suff w:val="tab"/>
        <w:lvlText w:val="%1.%2.%3."/>
        <w:lvlJc w:val="left"/>
        <w:pPr>
          <w:ind w:left="1135" w:hanging="567"/>
        </w:pPr>
        <w:rPr>
          <w:rFonts w:hint="default"/>
          <w:b w:val="0"/>
        </w:rPr>
      </w:lvl>
    </w:lvlOverride>
    <w:lvlOverride w:ilvl="3">
      <w:lvl w:ilvl="3">
        <w:start w:val="1"/>
        <w:numFmt w:val="decimal"/>
        <w:pStyle w:val="977"/>
        <w:isLgl w:val="false"/>
        <w:suff w:val="tab"/>
        <w:lvlText w:val="%1.%2.%3.%4."/>
        <w:lvlJc w:val="left"/>
        <w:pPr>
          <w:ind w:left="1816" w:hanging="681"/>
        </w:pPr>
        <w:rPr>
          <w:rFonts w:hint="default"/>
        </w:rPr>
      </w:lvl>
    </w:lvlOverride>
    <w:lvlOverride w:ilvl="4">
      <w:lvl w:ilvl="4">
        <w:start w:val="1"/>
        <w:numFmt w:val="decimal"/>
        <w:pStyle w:val="978"/>
        <w:isLgl w:val="false"/>
        <w:suff w:val="tab"/>
        <w:lvlText w:val="%1.%2.%3.%4.%5."/>
        <w:lvlJc w:val="left"/>
        <w:pPr>
          <w:ind w:left="1304" w:hanging="794"/>
        </w:pPr>
        <w:rPr>
          <w:rFonts w:hint="default"/>
        </w:rPr>
      </w:lvl>
    </w:lvlOverride>
    <w:lvlOverride w:ilvl="5">
      <w:lvl w:ilvl="5">
        <w:start w:val="1"/>
        <w:numFmt w:val="russianLower"/>
        <w:lvlRestart w:val="4"/>
        <w:pStyle w:val="979"/>
        <w:isLgl w:val="false"/>
        <w:suff w:val="tab"/>
        <w:lvlText w:val="%6)"/>
        <w:lvlJc w:val="left"/>
        <w:pPr>
          <w:ind w:left="340" w:hanging="340"/>
        </w:pPr>
        <w:rPr>
          <w:rFonts w:hint="default"/>
          <w:b w:val="0"/>
        </w:rPr>
      </w:lvl>
    </w:lvlOverride>
    <w:lvlOverride w:ilvl="6">
      <w:lvl w:ilvl="6">
        <w:start w:val="1"/>
        <w:numFmt w:val="decimal"/>
        <w:pStyle w:val="980"/>
        <w:isLgl w:val="false"/>
        <w:suff w:val="nothing"/>
        <w:lvlText w:val="Форма %7"/>
        <w:lvlJc w:val="right"/>
        <w:pPr>
          <w:ind w:left="14455" w:firstLine="288"/>
        </w:pPr>
        <w:rPr>
          <w:rFonts w:hint="default"/>
        </w:rPr>
      </w:lvl>
    </w:lvlOverride>
    <w:lvlOverride w:ilvl="7">
      <w:lvl w:ilvl="7">
        <w:start w:val="1"/>
        <w:numFmt w:val="lowerLetter"/>
        <w:isLgl w:val="false"/>
        <w:suff w:val="tab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isLgl w:val="false"/>
        <w:suff w:val="tab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25">
    <w:abstractNumId w:val="13"/>
  </w:num>
  <w:num w:numId="26">
    <w:abstractNumId w:val="24"/>
  </w:num>
  <w:num w:numId="27">
    <w:abstractNumId w:val="25"/>
  </w:num>
  <w:num w:numId="28">
    <w:abstractNumId w:val="26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ru-RU" w:eastAsia="en-US" w:bidi="ar-SA"/>
      </w:rPr>
    </w:rPrDefault>
    <w:pPrDefault>
      <w:pPr>
        <w:spacing w:before="0" w:beforeAutospacing="0" w:after="160" w:afterAutospacing="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759">
    <w:name w:val="Heading 1"/>
    <w:basedOn w:val="926"/>
    <w:next w:val="926"/>
    <w:link w:val="760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760">
    <w:name w:val="Heading 1 Char"/>
    <w:basedOn w:val="930"/>
    <w:link w:val="759"/>
    <w:uiPriority w:val="9"/>
    <w:rPr>
      <w:rFonts w:ascii="Arial" w:hAnsi="Arial" w:eastAsia="Arial" w:cs="Arial"/>
      <w:sz w:val="40"/>
      <w:szCs w:val="40"/>
    </w:rPr>
  </w:style>
  <w:style w:type="character" w:styleId="761">
    <w:name w:val="Heading 2 Char"/>
    <w:basedOn w:val="930"/>
    <w:link w:val="927"/>
    <w:uiPriority w:val="9"/>
    <w:rPr>
      <w:rFonts w:ascii="Arial" w:hAnsi="Arial" w:eastAsia="Arial" w:cs="Arial"/>
      <w:sz w:val="34"/>
    </w:rPr>
  </w:style>
  <w:style w:type="paragraph" w:styleId="762">
    <w:name w:val="Heading 3"/>
    <w:basedOn w:val="926"/>
    <w:next w:val="926"/>
    <w:link w:val="763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763">
    <w:name w:val="Heading 3 Char"/>
    <w:basedOn w:val="930"/>
    <w:link w:val="762"/>
    <w:uiPriority w:val="9"/>
    <w:rPr>
      <w:rFonts w:ascii="Arial" w:hAnsi="Arial" w:eastAsia="Arial" w:cs="Arial"/>
      <w:sz w:val="30"/>
      <w:szCs w:val="30"/>
    </w:rPr>
  </w:style>
  <w:style w:type="paragraph" w:styleId="764">
    <w:name w:val="Heading 4"/>
    <w:basedOn w:val="926"/>
    <w:next w:val="926"/>
    <w:link w:val="765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765">
    <w:name w:val="Heading 4 Char"/>
    <w:basedOn w:val="930"/>
    <w:link w:val="764"/>
    <w:uiPriority w:val="9"/>
    <w:rPr>
      <w:rFonts w:ascii="Arial" w:hAnsi="Arial" w:eastAsia="Arial" w:cs="Arial"/>
      <w:b/>
      <w:bCs/>
      <w:sz w:val="26"/>
      <w:szCs w:val="26"/>
    </w:rPr>
  </w:style>
  <w:style w:type="character" w:styleId="766">
    <w:name w:val="Heading 5 Char"/>
    <w:basedOn w:val="930"/>
    <w:link w:val="928"/>
    <w:uiPriority w:val="9"/>
    <w:rPr>
      <w:rFonts w:ascii="Arial" w:hAnsi="Arial" w:eastAsia="Arial" w:cs="Arial"/>
      <w:b/>
      <w:bCs/>
      <w:sz w:val="24"/>
      <w:szCs w:val="24"/>
    </w:rPr>
  </w:style>
  <w:style w:type="paragraph" w:styleId="767">
    <w:name w:val="Heading 6"/>
    <w:basedOn w:val="926"/>
    <w:next w:val="926"/>
    <w:link w:val="768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68">
    <w:name w:val="Heading 6 Char"/>
    <w:basedOn w:val="930"/>
    <w:link w:val="767"/>
    <w:uiPriority w:val="9"/>
    <w:rPr>
      <w:rFonts w:ascii="Arial" w:hAnsi="Arial" w:eastAsia="Arial" w:cs="Arial"/>
      <w:b/>
      <w:bCs/>
      <w:sz w:val="22"/>
      <w:szCs w:val="22"/>
    </w:rPr>
  </w:style>
  <w:style w:type="character" w:styleId="769">
    <w:name w:val="Heading 7 Char"/>
    <w:basedOn w:val="930"/>
    <w:link w:val="929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70">
    <w:name w:val="Heading 8"/>
    <w:basedOn w:val="926"/>
    <w:next w:val="926"/>
    <w:link w:val="771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771">
    <w:name w:val="Heading 8 Char"/>
    <w:basedOn w:val="930"/>
    <w:link w:val="770"/>
    <w:uiPriority w:val="9"/>
    <w:rPr>
      <w:rFonts w:ascii="Arial" w:hAnsi="Arial" w:eastAsia="Arial" w:cs="Arial"/>
      <w:i/>
      <w:iCs/>
      <w:sz w:val="22"/>
      <w:szCs w:val="22"/>
    </w:rPr>
  </w:style>
  <w:style w:type="paragraph" w:styleId="772">
    <w:name w:val="Heading 9"/>
    <w:basedOn w:val="926"/>
    <w:next w:val="926"/>
    <w:link w:val="773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773">
    <w:name w:val="Heading 9 Char"/>
    <w:basedOn w:val="930"/>
    <w:link w:val="772"/>
    <w:uiPriority w:val="9"/>
    <w:rPr>
      <w:rFonts w:ascii="Arial" w:hAnsi="Arial" w:eastAsia="Arial" w:cs="Arial"/>
      <w:i/>
      <w:iCs/>
      <w:sz w:val="21"/>
      <w:szCs w:val="21"/>
    </w:rPr>
  </w:style>
  <w:style w:type="character" w:styleId="774">
    <w:name w:val="Title Char"/>
    <w:basedOn w:val="930"/>
    <w:link w:val="956"/>
    <w:uiPriority w:val="10"/>
    <w:rPr>
      <w:sz w:val="48"/>
      <w:szCs w:val="48"/>
    </w:rPr>
  </w:style>
  <w:style w:type="paragraph" w:styleId="775">
    <w:name w:val="Subtitle"/>
    <w:basedOn w:val="926"/>
    <w:next w:val="926"/>
    <w:link w:val="776"/>
    <w:uiPriority w:val="11"/>
    <w:qFormat/>
    <w:pPr>
      <w:spacing w:before="200" w:after="200"/>
    </w:pPr>
    <w:rPr>
      <w:sz w:val="24"/>
      <w:szCs w:val="24"/>
    </w:rPr>
  </w:style>
  <w:style w:type="character" w:styleId="776">
    <w:name w:val="Subtitle Char"/>
    <w:basedOn w:val="930"/>
    <w:link w:val="775"/>
    <w:uiPriority w:val="11"/>
    <w:rPr>
      <w:sz w:val="24"/>
      <w:szCs w:val="24"/>
    </w:rPr>
  </w:style>
  <w:style w:type="paragraph" w:styleId="777">
    <w:name w:val="Quote"/>
    <w:basedOn w:val="926"/>
    <w:next w:val="926"/>
    <w:link w:val="778"/>
    <w:uiPriority w:val="29"/>
    <w:qFormat/>
    <w:pPr>
      <w:ind w:left="720" w:right="720"/>
    </w:pPr>
    <w:rPr>
      <w:i/>
    </w:rPr>
  </w:style>
  <w:style w:type="character" w:styleId="778">
    <w:name w:val="Quote Char"/>
    <w:link w:val="777"/>
    <w:uiPriority w:val="29"/>
    <w:rPr>
      <w:i/>
    </w:rPr>
  </w:style>
  <w:style w:type="paragraph" w:styleId="779">
    <w:name w:val="Intense Quote"/>
    <w:basedOn w:val="926"/>
    <w:next w:val="926"/>
    <w:link w:val="780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780">
    <w:name w:val="Intense Quote Char"/>
    <w:link w:val="779"/>
    <w:uiPriority w:val="30"/>
    <w:rPr>
      <w:i/>
    </w:rPr>
  </w:style>
  <w:style w:type="character" w:styleId="781">
    <w:name w:val="Header Char"/>
    <w:basedOn w:val="930"/>
    <w:link w:val="938"/>
    <w:uiPriority w:val="99"/>
  </w:style>
  <w:style w:type="character" w:styleId="782">
    <w:name w:val="Footer Char"/>
    <w:basedOn w:val="930"/>
    <w:link w:val="935"/>
    <w:uiPriority w:val="99"/>
  </w:style>
  <w:style w:type="character" w:styleId="783">
    <w:name w:val="Caption Char"/>
    <w:basedOn w:val="930"/>
    <w:link w:val="945"/>
    <w:uiPriority w:val="35"/>
    <w:rPr>
      <w:b/>
      <w:bCs/>
      <w:color w:val="4f81bd" w:themeColor="accent1"/>
      <w:sz w:val="18"/>
      <w:szCs w:val="18"/>
    </w:rPr>
  </w:style>
  <w:style w:type="table" w:styleId="784">
    <w:name w:val="Table Grid Light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85">
    <w:name w:val="Plain Table 1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6">
    <w:name w:val="Plain Table 2"/>
    <w:basedOn w:val="93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87">
    <w:name w:val="Plain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88">
    <w:name w:val="Plain Table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Plain Table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90">
    <w:name w:val="Grid Table 1 Light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Grid Table 1 Light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Grid Table 1 Light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Grid Table 1 Light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Grid Table 1 Light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Grid Table 1 Light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6">
    <w:name w:val="Grid Table 1 Light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7">
    <w:name w:val="Grid Table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8">
    <w:name w:val="Grid Table 2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99">
    <w:name w:val="Grid Table 2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0">
    <w:name w:val="Grid Table 2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1">
    <w:name w:val="Grid Table 2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2">
    <w:name w:val="Grid Table 2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3">
    <w:name w:val="Grid Table 2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4">
    <w:name w:val="Grid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5">
    <w:name w:val="Grid Table 3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debf6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6">
    <w:name w:val="Grid Table 3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7">
    <w:name w:val="Grid Table 3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8">
    <w:name w:val="Grid Table 3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09">
    <w:name w:val="Grid Table 3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0">
    <w:name w:val="Grid Table 3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11">
    <w:name w:val="Grid Table 4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812">
    <w:name w:val="Grid Table 4 - Accent 1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febf6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67a4d8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813">
    <w:name w:val="Grid Table 4 - Accent 2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814">
    <w:name w:val="Grid Table 4 - Accent 3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815">
    <w:name w:val="Grid Table 4 - Accent 4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816">
    <w:name w:val="Grid Table 4 - Accent 5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817">
    <w:name w:val="Grid Table 4 - Accent 6"/>
    <w:basedOn w:val="93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818">
    <w:name w:val="Grid Table 5 Dark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819">
    <w:name w:val="Grid Table 5 Dark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debf6" w:themeFill="accent1" w:themeFillTint="34"/>
    </w:tblPr>
    <w:tblStylePr w:type="band1Horz">
      <w:tcPr>
        <w:shd w:val="clear" w:color="ffffff" w:themeColor="accent1" w:themeTint="75" w:fill="b4d2eb" w:themeFill="accent1" w:themeFillTint="75"/>
      </w:tcPr>
    </w:tblStylePr>
    <w:tblStylePr w:type="band1Vert">
      <w:tcPr>
        <w:shd w:val="clear" w:color="ffffff" w:themeColor="accent1" w:themeTint="75" w:fill="b4d2eb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  <w:tcBorders>
          <w:top w:val="single" w:color="000000" w:themeColor="light1" w:sz="4" w:space="0"/>
        </w:tcBorders>
      </w:tcPr>
    </w:tblStylePr>
  </w:style>
  <w:style w:type="table" w:styleId="820">
    <w:name w:val="Grid Table 5 Dark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5d6" w:themeFill="accent2" w:themeFillTint="32"/>
    </w:tblPr>
    <w:tblStylePr w:type="band1Horz">
      <w:tcPr>
        <w:shd w:val="clear" w:color="ffffff" w:themeColor="accent2" w:themeTint="75" w:fill="f6c3a1" w:themeFill="accent2" w:themeFillTint="75"/>
      </w:tcPr>
    </w:tblStylePr>
    <w:tblStylePr w:type="band1Vert">
      <w:tcPr>
        <w:shd w:val="clear" w:color="ffffff" w:themeColor="accent2" w:themeTint="75" w:fill="f6c3a1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</w:style>
  <w:style w:type="table" w:styleId="821">
    <w:name w:val="Grid Table 5 Dark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blStylePr w:type="band1Horz">
      <w:tcPr>
        <w:shd w:val="clear" w:color="ffffff" w:themeColor="accent3" w:themeTint="75" w:fill="d6d6d6" w:themeFill="accent3" w:themeFillTint="75"/>
      </w:tcPr>
    </w:tblStylePr>
    <w:tblStylePr w:type="band1Vert">
      <w:tcPr>
        <w:shd w:val="clear" w:color="ffffff" w:themeColor="accent3" w:themeTint="75" w:fill="d6d6d6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</w:style>
  <w:style w:type="table" w:styleId="822">
    <w:name w:val="Grid Table 5 Dark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ef2cb" w:themeFill="accent4" w:themeFillTint="34"/>
    </w:tblPr>
    <w:tblStylePr w:type="band1Horz">
      <w:tcPr>
        <w:shd w:val="clear" w:color="ffffff" w:themeColor="accent4" w:themeTint="75" w:fill="fee189" w:themeFill="accent4" w:themeFillTint="75"/>
      </w:tcPr>
    </w:tblStylePr>
    <w:tblStylePr w:type="band1Vert">
      <w:tcPr>
        <w:shd w:val="clear" w:color="ffffff" w:themeColor="accent4" w:themeTint="75" w:fill="fee189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</w:style>
  <w:style w:type="table" w:styleId="823">
    <w:name w:val="Grid Table 5 Dark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9e2f2" w:themeFill="accent5" w:themeFillTint="34"/>
    </w:tblPr>
    <w:tblStylePr w:type="band1Horz">
      <w:tcPr>
        <w:shd w:val="clear" w:color="ffffff" w:themeColor="accent5" w:themeTint="75" w:fill="aabfe3" w:themeFill="accent5" w:themeFillTint="75"/>
      </w:tcPr>
    </w:tblStylePr>
    <w:tblStylePr w:type="band1Vert">
      <w:tcPr>
        <w:shd w:val="clear" w:color="ffffff" w:themeColor="accent5" w:themeTint="75" w:fill="aabfe3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  <w:tcBorders>
          <w:top w:val="single" w:color="000000" w:themeColor="light1" w:sz="4" w:space="0"/>
        </w:tcBorders>
      </w:tcPr>
    </w:tblStylePr>
  </w:style>
  <w:style w:type="table" w:styleId="824">
    <w:name w:val="Grid Table 5 Dark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8" w:themeFill="accent6" w:themeFillTint="34"/>
    </w:tblPr>
    <w:tblStylePr w:type="band1Horz">
      <w:tcPr>
        <w:shd w:val="clear" w:color="ffffff" w:themeColor="accent6" w:themeTint="75" w:fill="bedba8" w:themeFill="accent6" w:themeFillTint="75"/>
      </w:tcPr>
    </w:tblStylePr>
    <w:tblStylePr w:type="band1Vert">
      <w:tcPr>
        <w:shd w:val="clear" w:color="ffffff" w:themeColor="accent6" w:themeTint="75" w:fill="bedb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</w:style>
  <w:style w:type="table" w:styleId="825">
    <w:name w:val="Grid Table 6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826">
    <w:name w:val="Grid Table 6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17bba" w:themeColor="accent1" w:themeTint="80" w:themeShade="95"/>
      </w:rPr>
    </w:tblStylePr>
    <w:tblStylePr w:type="firstRow">
      <w:rPr>
        <w:b/>
        <w:color w:val="317bba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17bba" w:themeColor="accent1" w:themeTint="80" w:themeShade="95"/>
      </w:rPr>
    </w:tblStylePr>
    <w:tblStylePr w:type="lastRow">
      <w:rPr>
        <w:b/>
        <w:color w:val="317bba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827">
    <w:name w:val="Grid Table 6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828">
    <w:name w:val="Grid Table 6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606060" w:themeColor="accent3" w:themeTint="FE" w:themeShade="95"/>
      </w:rPr>
    </w:tblStylePr>
    <w:tblStylePr w:type="firstRow">
      <w:rPr>
        <w:b/>
        <w:color w:val="606060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</w:tblStylePr>
    <w:tblStylePr w:type="lastRow">
      <w:rPr>
        <w:b/>
        <w:color w:val="606060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829">
    <w:name w:val="Grid Table 6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830">
    <w:name w:val="Grid Table 6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1">
    <w:name w:val="Grid Table 6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54374" w:themeColor="accent5" w:themeShade="95"/>
      </w:rPr>
    </w:tblStylePr>
    <w:tblStylePr w:type="firstRow">
      <w:rPr>
        <w:b/>
        <w:color w:val="254374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54374" w:themeColor="accent5" w:themeShade="95"/>
      </w:rPr>
    </w:tblStylePr>
    <w:tblStylePr w:type="lastRow">
      <w:rPr>
        <w:b/>
        <w:color w:val="254374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832">
    <w:name w:val="Grid Table 7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3">
    <w:name w:val="Grid Table 7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17bba" w:themeColor="accent1" w:themeTint="80" w:themeShade="95"/>
        <w:sz w:val="22"/>
      </w:rPr>
      <w:tcPr>
        <w:shd w:val="clear" w:color="ffffff" w:themeColor="accent1" w:themeTint="34" w:fill="ddebf6" w:themeFill="accent1" w:themeFillTint="34"/>
      </w:tcPr>
    </w:tblStylePr>
    <w:tblStylePr w:type="band1Vert">
      <w:tcPr>
        <w:shd w:val="clear" w:color="ffffff" w:themeColor="accent1" w:themeTint="34" w:fill="ddebf6" w:themeFill="accent1" w:themeFillTint="34"/>
      </w:tcPr>
    </w:tblStylePr>
    <w:tblStylePr w:type="band2Horz">
      <w:rPr>
        <w:rFonts w:ascii="Arial" w:hAnsi="Arial"/>
        <w:color w:val="317bba" w:themeColor="accent1" w:themeTint="80" w:themeShade="95"/>
        <w:sz w:val="22"/>
      </w:rPr>
    </w:tblStylePr>
    <w:tblStylePr w:type="firstCol">
      <w:rPr>
        <w:rFonts w:ascii="Arial" w:hAnsi="Arial"/>
        <w:i/>
        <w:color w:val="317bba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17bba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17bba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4">
    <w:name w:val="Grid Table 7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32" w:fill="fbe5d6" w:themeFill="accent2" w:themeFillTint="32"/>
      </w:tcPr>
    </w:tblStylePr>
    <w:tblStylePr w:type="band1Vert">
      <w:tcPr>
        <w:shd w:val="clear" w:color="ffffff" w:themeColor="accent2" w:themeTint="32" w:fill="fbe5d6" w:themeFill="accent2" w:themeFillTint="32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5">
    <w:name w:val="Grid Table 7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606060" w:themeColor="accent3" w:themeTint="FE" w:themeShade="95"/>
        <w:sz w:val="22"/>
      </w:rPr>
      <w:tcPr>
        <w:shd w:val="clear" w:color="ffffff" w:themeColor="accent3" w:themeTint="34" w:fill="ededed" w:themeFill="accent3" w:themeFillTint="34"/>
      </w:tcPr>
    </w:tblStylePr>
    <w:tblStylePr w:type="band1Vert">
      <w:tcPr>
        <w:shd w:val="clear" w:color="ffffff" w:themeColor="accent3" w:themeTint="34" w:fill="ededed" w:themeFill="accent3" w:themeFillTint="34"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6">
    <w:name w:val="Grid Table 7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34" w:fill="fef2cb" w:themeFill="accent4" w:themeFillTint="34"/>
      </w:tcPr>
    </w:tblStylePr>
    <w:tblStylePr w:type="band1Vert">
      <w:tcPr>
        <w:shd w:val="clear" w:color="ffffff" w:themeColor="accent4" w:themeTint="34" w:fill="fef2cb" w:themeFill="accent4" w:themeFillTint="34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7">
    <w:name w:val="Grid Table 7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54374" w:themeColor="accent5" w:themeShade="95"/>
        <w:sz w:val="22"/>
      </w:rPr>
      <w:tcPr>
        <w:shd w:val="clear" w:color="ffffff" w:themeColor="accent5" w:themeTint="34" w:fill="d9e2f2" w:themeFill="accent5" w:themeFillTint="34"/>
      </w:tcPr>
    </w:tblStylePr>
    <w:tblStylePr w:type="band1Vert">
      <w:tcPr>
        <w:shd w:val="clear" w:color="ffffff" w:themeColor="accent5" w:themeTint="34" w:fill="d9e2f2" w:themeFill="accent5" w:themeFillTint="34"/>
      </w:tcPr>
    </w:tblStylePr>
    <w:tblStylePr w:type="band2Horz">
      <w:rPr>
        <w:rFonts w:ascii="Arial" w:hAnsi="Arial"/>
        <w:color w:val="254374" w:themeColor="accent5" w:themeShade="95"/>
        <w:sz w:val="22"/>
      </w:rPr>
    </w:tblStylePr>
    <w:tblStylePr w:type="firstCol">
      <w:rPr>
        <w:rFonts w:ascii="Arial" w:hAnsi="Arial"/>
        <w:i/>
        <w:color w:val="254374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54374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54374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8">
    <w:name w:val="Grid Table 7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26429" w:themeColor="accent6" w:themeShade="95"/>
        <w:sz w:val="22"/>
      </w:rPr>
      <w:tcPr>
        <w:shd w:val="clear" w:color="ffffff" w:themeColor="accent6" w:themeTint="34" w:fill="e2efd8" w:themeFill="accent6" w:themeFillTint="34"/>
      </w:tcPr>
    </w:tblStylePr>
    <w:tblStylePr w:type="band1Vert">
      <w:tcPr>
        <w:shd w:val="clear" w:color="ffffff" w:themeColor="accent6" w:themeTint="34" w:fill="e2efd8" w:themeFill="accent6" w:themeFillTint="34"/>
      </w:tcPr>
    </w:tblStylePr>
    <w:tblStylePr w:type="band2Horz">
      <w:rPr>
        <w:rFonts w:ascii="Arial" w:hAnsi="Arial"/>
        <w:color w:val="426429" w:themeColor="accent6" w:themeShade="95"/>
        <w:sz w:val="22"/>
      </w:rPr>
    </w:tblStylePr>
    <w:tblStylePr w:type="firstCol">
      <w:rPr>
        <w:rFonts w:ascii="Arial" w:hAnsi="Arial"/>
        <w:i/>
        <w:color w:val="426429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26429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26429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39">
    <w:name w:val="List Table 1 Light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0">
    <w:name w:val="List Table 1 Light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1">
    <w:name w:val="List Table 1 Light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2">
    <w:name w:val="List Table 1 Light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3">
    <w:name w:val="List Table 1 Light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4">
    <w:name w:val="List Table 1 Light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5">
    <w:name w:val="List Table 1 Light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846">
    <w:name w:val="List Table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847">
    <w:name w:val="List Table 2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848">
    <w:name w:val="List Table 2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849">
    <w:name w:val="List Table 2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850">
    <w:name w:val="List Table 2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851">
    <w:name w:val="List Table 2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852">
    <w:name w:val="List Table 2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853">
    <w:name w:val="List Table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4">
    <w:name w:val="List Table 3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5">
    <w:name w:val="List Table 3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6">
    <w:name w:val="List Table 3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9c9c9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7">
    <w:name w:val="List Table 3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8">
    <w:name w:val="List Table 3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8eabdb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59">
    <w:name w:val="List Table 3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aad08f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0">
    <w:name w:val="List Table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1">
    <w:name w:val="List Table 4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5e6f4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5b9bd5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2">
    <w:name w:val="List Table 4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fadecb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ed7d31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3">
    <w:name w:val="List Table 4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8e8e8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a5a5a5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4">
    <w:name w:val="List Table 4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ffefbf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ffc000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5">
    <w:name w:val="List Table 4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cfdc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472c4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6">
    <w:name w:val="List Table 4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dbebd0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70ad47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867">
    <w:name w:val="List Table 5 Dark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8">
    <w:name w:val="List Table 5 Dark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5b9bd5" w:themeFill="accent1"/>
    </w:tblPr>
    <w:tblStylePr w:type="band1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5b9bd5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5b9bd5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5b9bd5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69">
    <w:name w:val="List Table 5 Dark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185" w:themeFill="accent2" w:themeFillTint="97"/>
    </w:tblPr>
    <w:tblStylePr w:type="band1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f4b1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f4b1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f4b1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0">
    <w:name w:val="List Table 5 Dark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blStylePr w:type="band1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1">
    <w:name w:val="List Table 5 Dark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864" w:themeFill="accent4" w:themeFillTint="9A"/>
    </w:tblPr>
    <w:tblStylePr w:type="band1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ffd864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ffd864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ffd864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2">
    <w:name w:val="List Table 5 Dark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8eabdb" w:themeFill="accent5" w:themeFillTint="9A"/>
    </w:tblPr>
    <w:tblStylePr w:type="band1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8eabdb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8eabdb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8eabdb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3">
    <w:name w:val="List Table 5 Dark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ad08f" w:themeFill="accent6" w:themeFillTint="98"/>
    </w:tblPr>
    <w:tblStylePr w:type="band1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aad0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aad0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aad0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74">
    <w:name w:val="List Table 6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75">
    <w:name w:val="List Table 6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45d8d" w:themeColor="accent1" w:themeShade="95"/>
      </w:rPr>
    </w:tblStylePr>
    <w:tblStylePr w:type="firstRow">
      <w:rPr>
        <w:b/>
        <w:color w:val="245d8d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45d8d" w:themeColor="accent1" w:themeShade="95"/>
      </w:rPr>
    </w:tblStylePr>
    <w:tblStylePr w:type="lastRow">
      <w:rPr>
        <w:b/>
        <w:color w:val="245d8d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76">
    <w:name w:val="List Table 6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c95712" w:themeColor="accent2" w:themeTint="97" w:themeShade="95"/>
      </w:rPr>
    </w:tblStylePr>
    <w:tblStylePr w:type="firstRow">
      <w:rPr>
        <w:b/>
        <w:color w:val="c95712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95712" w:themeColor="accent2" w:themeTint="97" w:themeShade="95"/>
      </w:rPr>
    </w:tblStylePr>
    <w:tblStylePr w:type="lastRow">
      <w:rPr>
        <w:b/>
        <w:color w:val="c95712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77">
    <w:name w:val="List Table 6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57575" w:themeColor="accent3" w:themeTint="98" w:themeShade="95"/>
      </w:rPr>
    </w:tblStylePr>
    <w:tblStylePr w:type="firstRow">
      <w:rPr>
        <w:b/>
        <w:color w:val="757575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</w:tblStylePr>
    <w:tblStylePr w:type="lastRow">
      <w:rPr>
        <w:b/>
        <w:color w:val="757575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78">
    <w:name w:val="List Table 6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cd9600" w:themeColor="accent4" w:themeTint="9A" w:themeShade="95"/>
      </w:rPr>
    </w:tblStylePr>
    <w:tblStylePr w:type="firstRow">
      <w:rPr>
        <w:b/>
        <w:color w:val="cd9600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cd9600" w:themeColor="accent4" w:themeTint="9A" w:themeShade="95"/>
      </w:rPr>
    </w:tblStylePr>
    <w:tblStylePr w:type="lastRow">
      <w:rPr>
        <w:b/>
        <w:color w:val="cd9600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79">
    <w:name w:val="List Table 6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5e9e" w:themeColor="accent5" w:themeTint="9A" w:themeShade="95"/>
      </w:rPr>
    </w:tblStylePr>
    <w:tblStylePr w:type="firstRow">
      <w:rPr>
        <w:b/>
        <w:color w:val="335e9e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5e9e" w:themeColor="accent5" w:themeTint="9A" w:themeShade="95"/>
      </w:rPr>
    </w:tblStylePr>
    <w:tblStylePr w:type="lastRow">
      <w:rPr>
        <w:b/>
        <w:color w:val="335e9e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80">
    <w:name w:val="List Table 6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5f8f3c" w:themeColor="accent6" w:themeTint="98" w:themeShade="95"/>
      </w:rPr>
    </w:tblStylePr>
    <w:tblStylePr w:type="firstRow">
      <w:rPr>
        <w:b/>
        <w:color w:val="5f8f3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f8f3c" w:themeColor="accent6" w:themeTint="98" w:themeShade="95"/>
      </w:rPr>
    </w:tblStylePr>
    <w:tblStylePr w:type="lastRow">
      <w:rPr>
        <w:b/>
        <w:color w:val="5f8f3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81">
    <w:name w:val="List Table 7 Colorful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82">
    <w:name w:val="List Table 7 Colorful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45d8d" w:themeColor="accent1" w:themeShade="95"/>
        <w:sz w:val="22"/>
      </w:rPr>
      <w:tcPr>
        <w:shd w:val="clear" w:color="ffffff" w:themeColor="accent1" w:themeTint="40" w:fill="d5e6f4" w:themeFill="accent1" w:themeFillTint="40"/>
      </w:tcPr>
    </w:tblStylePr>
    <w:tblStylePr w:type="band1Vert">
      <w:tcPr>
        <w:shd w:val="clear" w:color="ffffff" w:themeColor="accent1" w:themeTint="40" w:fill="d5e6f4" w:themeFill="accent1" w:themeFillTint="40"/>
      </w:tcPr>
    </w:tblStylePr>
    <w:tblStylePr w:type="band2Horz">
      <w:rPr>
        <w:rFonts w:ascii="Arial" w:hAnsi="Arial"/>
        <w:color w:val="245d8d" w:themeColor="accent1" w:themeShade="95"/>
        <w:sz w:val="22"/>
      </w:rPr>
    </w:tblStylePr>
    <w:tblStylePr w:type="firstCol">
      <w:rPr>
        <w:rFonts w:ascii="Arial" w:hAnsi="Arial"/>
        <w:i/>
        <w:color w:val="245d8d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45d8d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45d8d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45d8d" w:themeColor="accent1" w:themeShade="95"/>
        <w:sz w:val="22"/>
      </w:rPr>
    </w:tblStylePr>
  </w:style>
  <w:style w:type="table" w:styleId="883">
    <w:name w:val="List Table 7 Colorful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c95712" w:themeColor="accent2" w:themeTint="97" w:themeShade="95"/>
        <w:sz w:val="22"/>
      </w:rPr>
      <w:tcPr>
        <w:shd w:val="clear" w:color="ffffff" w:themeColor="accent2" w:themeTint="40" w:fill="fadecb" w:themeFill="accent2" w:themeFillTint="40"/>
      </w:tcPr>
    </w:tblStylePr>
    <w:tblStylePr w:type="band1Vert">
      <w:tcPr>
        <w:shd w:val="clear" w:color="ffffff" w:themeColor="accent2" w:themeTint="40" w:fill="fadecb" w:themeFill="accent2" w:themeFillTint="40"/>
      </w:tcPr>
    </w:tblStylePr>
    <w:tblStylePr w:type="band2Horz">
      <w:rPr>
        <w:rFonts w:ascii="Arial" w:hAnsi="Arial"/>
        <w:color w:val="c95712" w:themeColor="accent2" w:themeTint="97" w:themeShade="95"/>
        <w:sz w:val="22"/>
      </w:rPr>
    </w:tblStylePr>
    <w:tblStylePr w:type="firstCol">
      <w:rPr>
        <w:rFonts w:ascii="Arial" w:hAnsi="Arial"/>
        <w:i/>
        <w:color w:val="c95712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95712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95712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95712" w:themeColor="accent2" w:themeTint="97" w:themeShade="95"/>
        <w:sz w:val="22"/>
      </w:rPr>
    </w:tblStylePr>
  </w:style>
  <w:style w:type="table" w:styleId="884">
    <w:name w:val="List Table 7 Colorful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57575" w:themeColor="accent3" w:themeTint="98" w:themeShade="95"/>
        <w:sz w:val="22"/>
      </w:rPr>
      <w:tcPr>
        <w:shd w:val="clear" w:color="ffffff" w:themeColor="accent3" w:themeTint="40" w:fill="e8e8e8" w:themeFill="accent3" w:themeFillTint="40"/>
      </w:tcPr>
    </w:tblStylePr>
    <w:tblStylePr w:type="band1Vert">
      <w:tcPr>
        <w:shd w:val="clear" w:color="ffffff" w:themeColor="accent3" w:themeTint="40" w:fill="e8e8e8" w:themeFill="accent3" w:themeFillTint="40"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</w:tblStylePr>
  </w:style>
  <w:style w:type="table" w:styleId="885">
    <w:name w:val="List Table 7 Colorful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cd9600" w:themeColor="accent4" w:themeTint="9A" w:themeShade="95"/>
        <w:sz w:val="22"/>
      </w:rPr>
      <w:tcPr>
        <w:shd w:val="clear" w:color="ffffff" w:themeColor="accent4" w:themeTint="40" w:fill="ffefbf" w:themeFill="accent4" w:themeFillTint="40"/>
      </w:tcPr>
    </w:tblStylePr>
    <w:tblStylePr w:type="band1Vert">
      <w:tcPr>
        <w:shd w:val="clear" w:color="ffffff" w:themeColor="accent4" w:themeTint="40" w:fill="ffefbf" w:themeFill="accent4" w:themeFillTint="40"/>
      </w:tcPr>
    </w:tblStylePr>
    <w:tblStylePr w:type="band2Horz">
      <w:rPr>
        <w:rFonts w:ascii="Arial" w:hAnsi="Arial"/>
        <w:color w:val="cd9600" w:themeColor="accent4" w:themeTint="9A" w:themeShade="95"/>
        <w:sz w:val="22"/>
      </w:rPr>
    </w:tblStylePr>
    <w:tblStylePr w:type="firstCol">
      <w:rPr>
        <w:rFonts w:ascii="Arial" w:hAnsi="Arial"/>
        <w:i/>
        <w:color w:val="cd9600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cd9600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cd9600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cd9600" w:themeColor="accent4" w:themeTint="9A" w:themeShade="95"/>
        <w:sz w:val="22"/>
      </w:rPr>
    </w:tblStylePr>
  </w:style>
  <w:style w:type="table" w:styleId="886">
    <w:name w:val="List Table 7 Colorful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5e9e" w:themeColor="accent5" w:themeTint="9A" w:themeShade="95"/>
        <w:sz w:val="22"/>
      </w:rPr>
      <w:tcPr>
        <w:shd w:val="clear" w:color="ffffff" w:themeColor="accent5" w:themeTint="40" w:fill="cfdcf0" w:themeFill="accent5" w:themeFillTint="40"/>
      </w:tcPr>
    </w:tblStylePr>
    <w:tblStylePr w:type="band1Vert">
      <w:tcPr>
        <w:shd w:val="clear" w:color="ffffff" w:themeColor="accent5" w:themeTint="40" w:fill="cfdcf0" w:themeFill="accent5" w:themeFillTint="40"/>
      </w:tcPr>
    </w:tblStylePr>
    <w:tblStylePr w:type="band2Horz">
      <w:rPr>
        <w:rFonts w:ascii="Arial" w:hAnsi="Arial"/>
        <w:color w:val="335e9e" w:themeColor="accent5" w:themeTint="9A" w:themeShade="95"/>
        <w:sz w:val="22"/>
      </w:rPr>
    </w:tblStylePr>
    <w:tblStylePr w:type="firstCol">
      <w:rPr>
        <w:rFonts w:ascii="Arial" w:hAnsi="Arial"/>
        <w:i/>
        <w:color w:val="335e9e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5e9e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5e9e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5e9e" w:themeColor="accent5" w:themeTint="9A" w:themeShade="95"/>
        <w:sz w:val="22"/>
      </w:rPr>
    </w:tblStylePr>
  </w:style>
  <w:style w:type="table" w:styleId="887">
    <w:name w:val="List Table 7 Colorful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5f8f3c" w:themeColor="accent6" w:themeTint="98" w:themeShade="95"/>
        <w:sz w:val="22"/>
      </w:rPr>
      <w:tcPr>
        <w:shd w:val="clear" w:color="ffffff" w:themeColor="accent6" w:themeTint="40" w:fill="dbebd0" w:themeFill="accent6" w:themeFillTint="40"/>
      </w:tcPr>
    </w:tblStylePr>
    <w:tblStylePr w:type="band1Vert">
      <w:tcPr>
        <w:shd w:val="clear" w:color="ffffff" w:themeColor="accent6" w:themeTint="40" w:fill="dbebd0" w:themeFill="accent6" w:themeFillTint="40"/>
      </w:tcPr>
    </w:tblStylePr>
    <w:tblStylePr w:type="band2Horz">
      <w:rPr>
        <w:rFonts w:ascii="Arial" w:hAnsi="Arial"/>
        <w:color w:val="5f8f3c" w:themeColor="accent6" w:themeTint="98" w:themeShade="95"/>
        <w:sz w:val="22"/>
      </w:rPr>
    </w:tblStylePr>
    <w:tblStylePr w:type="firstCol">
      <w:rPr>
        <w:rFonts w:ascii="Arial" w:hAnsi="Arial"/>
        <w:i/>
        <w:color w:val="5f8f3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f8f3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5f8f3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5f8f3c" w:themeColor="accent6" w:themeTint="98" w:themeShade="95"/>
        <w:sz w:val="22"/>
      </w:rPr>
    </w:tblStylePr>
  </w:style>
  <w:style w:type="table" w:styleId="888">
    <w:name w:val="Lined - Accent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89">
    <w:name w:val="Lined - Accent 1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0">
    <w:name w:val="Lined - Accent 2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1">
    <w:name w:val="Lined - Accent 3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2">
    <w:name w:val="Lined - Accent 4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893">
    <w:name w:val="Lined - Accent 5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894">
    <w:name w:val="Lined - Accent 6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895">
    <w:name w:val="Bordered &amp; Lined - Accent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96">
    <w:name w:val="Bordered &amp; Lined - Accent 1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ce0f1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67a4d8" w:themeFill="accent1" w:themeFillTint="EA"/>
      </w:tcPr>
    </w:tblStylePr>
  </w:style>
  <w:style w:type="table" w:styleId="897">
    <w:name w:val="Bordered &amp; Lined - Accent 2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be5d6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f4b185" w:themeFill="accent2" w:themeFillTint="97"/>
      </w:tcPr>
    </w:tblStylePr>
  </w:style>
  <w:style w:type="table" w:styleId="898">
    <w:name w:val="Bordered &amp; Lined - Accent 3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dede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a5a5a5" w:themeFill="accent3" w:themeFillTint="FE"/>
      </w:tcPr>
    </w:tblStylePr>
  </w:style>
  <w:style w:type="table" w:styleId="899">
    <w:name w:val="Bordered &amp; Lined - Accent 4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fef2cb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ffd864" w:themeFill="accent4" w:themeFillTint="9A"/>
      </w:tcPr>
    </w:tblStylePr>
  </w:style>
  <w:style w:type="table" w:styleId="900">
    <w:name w:val="Bordered &amp; Lined - Accent 5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9e2f2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472c4" w:themeFill="accent5"/>
      </w:tcPr>
    </w:tblStylePr>
  </w:style>
  <w:style w:type="table" w:styleId="901">
    <w:name w:val="Bordered &amp; Lined - Accent 6"/>
    <w:basedOn w:val="93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e2ef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70ad47" w:themeFill="accent6"/>
      </w:tcPr>
    </w:tblStylePr>
  </w:style>
  <w:style w:type="table" w:styleId="902">
    <w:name w:val="Bordered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903">
    <w:name w:val="Bordered - Accent 1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904">
    <w:name w:val="Bordered - Accent 2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905">
    <w:name w:val="Bordered - Accent 3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906">
    <w:name w:val="Bordered - Accent 4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907">
    <w:name w:val="Bordered - Accent 5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908">
    <w:name w:val="Bordered - Accent 6"/>
    <w:basedOn w:val="93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909">
    <w:name w:val="footnote text"/>
    <w:basedOn w:val="926"/>
    <w:link w:val="910"/>
    <w:uiPriority w:val="99"/>
    <w:semiHidden/>
    <w:unhideWhenUsed/>
    <w:pPr>
      <w:spacing w:after="40" w:line="240" w:lineRule="auto"/>
    </w:pPr>
    <w:rPr>
      <w:sz w:val="18"/>
    </w:rPr>
  </w:style>
  <w:style w:type="character" w:styleId="910">
    <w:name w:val="Footnote Text Char"/>
    <w:link w:val="909"/>
    <w:uiPriority w:val="99"/>
    <w:rPr>
      <w:sz w:val="18"/>
    </w:rPr>
  </w:style>
  <w:style w:type="character" w:styleId="911">
    <w:name w:val="footnote reference"/>
    <w:basedOn w:val="930"/>
    <w:uiPriority w:val="99"/>
    <w:unhideWhenUsed/>
    <w:rPr>
      <w:vertAlign w:val="superscript"/>
    </w:rPr>
  </w:style>
  <w:style w:type="paragraph" w:styleId="912">
    <w:name w:val="endnote text"/>
    <w:basedOn w:val="926"/>
    <w:link w:val="913"/>
    <w:uiPriority w:val="99"/>
    <w:semiHidden/>
    <w:unhideWhenUsed/>
    <w:pPr>
      <w:spacing w:after="0" w:line="240" w:lineRule="auto"/>
    </w:pPr>
    <w:rPr>
      <w:sz w:val="20"/>
    </w:rPr>
  </w:style>
  <w:style w:type="character" w:styleId="913">
    <w:name w:val="Endnote Text Char"/>
    <w:link w:val="912"/>
    <w:uiPriority w:val="99"/>
    <w:rPr>
      <w:sz w:val="20"/>
    </w:rPr>
  </w:style>
  <w:style w:type="character" w:styleId="914">
    <w:name w:val="endnote reference"/>
    <w:basedOn w:val="930"/>
    <w:uiPriority w:val="99"/>
    <w:semiHidden/>
    <w:unhideWhenUsed/>
    <w:rPr>
      <w:vertAlign w:val="superscript"/>
    </w:rPr>
  </w:style>
  <w:style w:type="paragraph" w:styleId="915">
    <w:name w:val="toc 1"/>
    <w:basedOn w:val="926"/>
    <w:next w:val="926"/>
    <w:uiPriority w:val="39"/>
    <w:unhideWhenUsed/>
    <w:pPr>
      <w:ind w:left="0" w:right="0" w:firstLine="0"/>
      <w:spacing w:after="57"/>
    </w:pPr>
  </w:style>
  <w:style w:type="paragraph" w:styleId="916">
    <w:name w:val="toc 2"/>
    <w:basedOn w:val="926"/>
    <w:next w:val="926"/>
    <w:uiPriority w:val="39"/>
    <w:unhideWhenUsed/>
    <w:pPr>
      <w:ind w:left="283" w:right="0" w:firstLine="0"/>
      <w:spacing w:after="57"/>
    </w:pPr>
  </w:style>
  <w:style w:type="paragraph" w:styleId="917">
    <w:name w:val="toc 3"/>
    <w:basedOn w:val="926"/>
    <w:next w:val="926"/>
    <w:uiPriority w:val="39"/>
    <w:unhideWhenUsed/>
    <w:pPr>
      <w:ind w:left="567" w:right="0" w:firstLine="0"/>
      <w:spacing w:after="57"/>
    </w:pPr>
  </w:style>
  <w:style w:type="paragraph" w:styleId="918">
    <w:name w:val="toc 4"/>
    <w:basedOn w:val="926"/>
    <w:next w:val="926"/>
    <w:uiPriority w:val="39"/>
    <w:unhideWhenUsed/>
    <w:pPr>
      <w:ind w:left="850" w:right="0" w:firstLine="0"/>
      <w:spacing w:after="57"/>
    </w:pPr>
  </w:style>
  <w:style w:type="paragraph" w:styleId="919">
    <w:name w:val="toc 5"/>
    <w:basedOn w:val="926"/>
    <w:next w:val="926"/>
    <w:uiPriority w:val="39"/>
    <w:unhideWhenUsed/>
    <w:pPr>
      <w:ind w:left="1134" w:right="0" w:firstLine="0"/>
      <w:spacing w:after="57"/>
    </w:pPr>
  </w:style>
  <w:style w:type="paragraph" w:styleId="920">
    <w:name w:val="toc 6"/>
    <w:basedOn w:val="926"/>
    <w:next w:val="926"/>
    <w:uiPriority w:val="39"/>
    <w:unhideWhenUsed/>
    <w:pPr>
      <w:ind w:left="1417" w:right="0" w:firstLine="0"/>
      <w:spacing w:after="57"/>
    </w:pPr>
  </w:style>
  <w:style w:type="paragraph" w:styleId="921">
    <w:name w:val="toc 7"/>
    <w:basedOn w:val="926"/>
    <w:next w:val="926"/>
    <w:uiPriority w:val="39"/>
    <w:unhideWhenUsed/>
    <w:pPr>
      <w:ind w:left="1701" w:right="0" w:firstLine="0"/>
      <w:spacing w:after="57"/>
    </w:pPr>
  </w:style>
  <w:style w:type="paragraph" w:styleId="922">
    <w:name w:val="toc 8"/>
    <w:basedOn w:val="926"/>
    <w:next w:val="926"/>
    <w:uiPriority w:val="39"/>
    <w:unhideWhenUsed/>
    <w:pPr>
      <w:ind w:left="1984" w:right="0" w:firstLine="0"/>
      <w:spacing w:after="57"/>
    </w:pPr>
  </w:style>
  <w:style w:type="paragraph" w:styleId="923">
    <w:name w:val="toc 9"/>
    <w:basedOn w:val="926"/>
    <w:next w:val="926"/>
    <w:uiPriority w:val="39"/>
    <w:unhideWhenUsed/>
    <w:pPr>
      <w:ind w:left="2268" w:right="0" w:firstLine="0"/>
      <w:spacing w:after="57"/>
    </w:pPr>
  </w:style>
  <w:style w:type="paragraph" w:styleId="924">
    <w:name w:val="TOC Heading"/>
    <w:uiPriority w:val="39"/>
    <w:unhideWhenUsed/>
  </w:style>
  <w:style w:type="paragraph" w:styleId="925">
    <w:name w:val="table of figures"/>
    <w:basedOn w:val="926"/>
    <w:next w:val="926"/>
    <w:uiPriority w:val="99"/>
    <w:unhideWhenUsed/>
    <w:pPr>
      <w:spacing w:after="0" w:afterAutospacing="0"/>
    </w:pPr>
  </w:style>
  <w:style w:type="paragraph" w:styleId="926" w:default="1">
    <w:name w:val="Normal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27">
    <w:name w:val="Heading 2"/>
    <w:basedOn w:val="926"/>
    <w:next w:val="926"/>
    <w:link w:val="961"/>
    <w:uiPriority w:val="9"/>
    <w:unhideWhenUsed/>
    <w:qFormat/>
    <w:pPr>
      <w:keepLines/>
      <w:keepNext/>
      <w:spacing w:before="40"/>
      <w:outlineLvl w:val="1"/>
    </w:pPr>
    <w:rPr>
      <w:rFonts w:asciiTheme="majorHAnsi" w:hAnsiTheme="majorHAnsi" w:eastAsiaTheme="majorEastAsia" w:cstheme="majorBidi"/>
      <w:color w:val="2e74b5" w:themeColor="accent1" w:themeShade="BF"/>
      <w:sz w:val="26"/>
      <w:szCs w:val="26"/>
    </w:rPr>
  </w:style>
  <w:style w:type="paragraph" w:styleId="928">
    <w:name w:val="Heading 5"/>
    <w:basedOn w:val="926"/>
    <w:next w:val="926"/>
    <w:link w:val="933"/>
    <w:qFormat/>
    <w:pPr>
      <w:spacing w:before="240" w:after="60"/>
      <w:outlineLvl w:val="4"/>
    </w:pPr>
    <w:rPr>
      <w:rFonts w:eastAsia="SimSun"/>
      <w:b/>
      <w:bCs/>
      <w:i/>
      <w:iCs/>
      <w:sz w:val="26"/>
      <w:szCs w:val="26"/>
    </w:rPr>
  </w:style>
  <w:style w:type="paragraph" w:styleId="929">
    <w:name w:val="Heading 7"/>
    <w:basedOn w:val="926"/>
    <w:next w:val="926"/>
    <w:link w:val="934"/>
    <w:qFormat/>
    <w:pPr>
      <w:spacing w:before="240" w:after="60"/>
      <w:outlineLvl w:val="6"/>
    </w:pPr>
    <w:rPr>
      <w:rFonts w:eastAsia="SimSun"/>
    </w:rPr>
  </w:style>
  <w:style w:type="character" w:styleId="930" w:default="1">
    <w:name w:val="Default Paragraph Font"/>
    <w:uiPriority w:val="1"/>
    <w:semiHidden/>
    <w:unhideWhenUsed/>
  </w:style>
  <w:style w:type="table" w:styleId="93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932" w:default="1">
    <w:name w:val="No List"/>
    <w:uiPriority w:val="99"/>
    <w:semiHidden/>
    <w:unhideWhenUsed/>
  </w:style>
  <w:style w:type="character" w:styleId="933" w:customStyle="1">
    <w:name w:val="Заголовок 5 Знак"/>
    <w:basedOn w:val="930"/>
    <w:link w:val="928"/>
    <w:rPr>
      <w:rFonts w:ascii="Times New Roman" w:hAnsi="Times New Roman" w:eastAsia="SimSun" w:cs="Times New Roman"/>
      <w:b/>
      <w:bCs/>
      <w:i/>
      <w:iCs/>
      <w:sz w:val="26"/>
      <w:szCs w:val="26"/>
      <w:lang w:eastAsia="ru-RU"/>
    </w:rPr>
  </w:style>
  <w:style w:type="character" w:styleId="934" w:customStyle="1">
    <w:name w:val="Заголовок 7 Знак"/>
    <w:basedOn w:val="930"/>
    <w:link w:val="929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35">
    <w:name w:val="Footer"/>
    <w:basedOn w:val="926"/>
    <w:link w:val="936"/>
    <w:uiPriority w:val="99"/>
    <w:pPr>
      <w:tabs>
        <w:tab w:val="center" w:pos="4677" w:leader="none"/>
        <w:tab w:val="right" w:pos="9355" w:leader="none"/>
      </w:tabs>
    </w:pPr>
    <w:rPr>
      <w:rFonts w:eastAsia="SimSun"/>
    </w:rPr>
  </w:style>
  <w:style w:type="character" w:styleId="936" w:customStyle="1">
    <w:name w:val="Нижний колонтитул Знак"/>
    <w:basedOn w:val="930"/>
    <w:link w:val="935"/>
    <w:uiPriority w:val="99"/>
    <w:rPr>
      <w:rFonts w:ascii="Times New Roman" w:hAnsi="Times New Roman" w:eastAsia="SimSun" w:cs="Times New Roman"/>
      <w:sz w:val="24"/>
      <w:szCs w:val="24"/>
      <w:lang w:eastAsia="ru-RU"/>
    </w:rPr>
  </w:style>
  <w:style w:type="character" w:styleId="937">
    <w:name w:val="page number"/>
    <w:basedOn w:val="930"/>
  </w:style>
  <w:style w:type="paragraph" w:styleId="938">
    <w:name w:val="Header"/>
    <w:basedOn w:val="926"/>
    <w:link w:val="939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939" w:customStyle="1">
    <w:name w:val="Верхний колонтитул Знак"/>
    <w:basedOn w:val="930"/>
    <w:link w:val="938"/>
    <w:uiPriority w:val="99"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0">
    <w:name w:val="No Spacing"/>
    <w:link w:val="971"/>
    <w:uiPriority w:val="1"/>
    <w:qFormat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41">
    <w:name w:val="List Paragraph"/>
    <w:basedOn w:val="926"/>
    <w:link w:val="972"/>
    <w:uiPriority w:val="34"/>
    <w:qFormat/>
    <w:pPr>
      <w:contextualSpacing/>
      <w:ind w:left="720"/>
    </w:pPr>
  </w:style>
  <w:style w:type="paragraph" w:styleId="942">
    <w:name w:val="Balloon Text"/>
    <w:basedOn w:val="926"/>
    <w:link w:val="943"/>
    <w:uiPriority w:val="99"/>
    <w:semiHidden/>
    <w:unhideWhenUsed/>
    <w:rPr>
      <w:rFonts w:ascii="Segoe UI" w:hAnsi="Segoe UI" w:cs="Segoe UI"/>
      <w:sz w:val="18"/>
      <w:szCs w:val="18"/>
    </w:rPr>
  </w:style>
  <w:style w:type="character" w:styleId="943" w:customStyle="1">
    <w:name w:val="Текст выноски Знак"/>
    <w:basedOn w:val="930"/>
    <w:link w:val="942"/>
    <w:uiPriority w:val="99"/>
    <w:semiHidden/>
    <w:rPr>
      <w:rFonts w:ascii="Segoe UI" w:hAnsi="Segoe UI" w:eastAsia="Times New Roman" w:cs="Segoe UI"/>
      <w:sz w:val="18"/>
      <w:szCs w:val="18"/>
      <w:lang w:eastAsia="ru-RU"/>
    </w:rPr>
  </w:style>
  <w:style w:type="character" w:styleId="944">
    <w:name w:val="Hyperlink"/>
    <w:uiPriority w:val="99"/>
    <w:rPr>
      <w:color w:val="0000ff"/>
      <w:u w:val="single"/>
    </w:rPr>
  </w:style>
  <w:style w:type="paragraph" w:styleId="945">
    <w:name w:val="Caption"/>
    <w:basedOn w:val="926"/>
    <w:next w:val="926"/>
    <w:link w:val="783"/>
    <w:uiPriority w:val="35"/>
    <w:unhideWhenUsed/>
    <w:qFormat/>
    <w:pPr>
      <w:spacing w:after="200"/>
    </w:pPr>
    <w:rPr>
      <w:rFonts w:asciiTheme="minorHAnsi" w:hAnsiTheme="minorHAnsi" w:eastAsiaTheme="minorHAnsi" w:cstheme="minorBidi"/>
      <w:b/>
      <w:bCs/>
      <w:color w:val="5b9bd5" w:themeColor="accent1"/>
      <w:sz w:val="18"/>
      <w:szCs w:val="18"/>
      <w:lang w:eastAsia="en-US"/>
    </w:rPr>
  </w:style>
  <w:style w:type="character" w:styleId="946">
    <w:name w:val="FollowedHyperlink"/>
    <w:basedOn w:val="930"/>
    <w:uiPriority w:val="99"/>
    <w:semiHidden/>
    <w:unhideWhenUsed/>
    <w:rPr>
      <w:color w:val="954f72" w:themeColor="followedHyperlink"/>
      <w:u w:val="single"/>
    </w:rPr>
  </w:style>
  <w:style w:type="paragraph" w:styleId="947">
    <w:name w:val="Body Text Indent"/>
    <w:basedOn w:val="926"/>
    <w:link w:val="948"/>
    <w:pPr>
      <w:ind w:left="1083" w:firstLine="537"/>
      <w:jc w:val="both"/>
      <w:tabs>
        <w:tab w:val="num" w:pos="0" w:leader="none"/>
      </w:tabs>
    </w:pPr>
    <w:rPr>
      <w:rFonts w:eastAsia="SimSun"/>
    </w:rPr>
  </w:style>
  <w:style w:type="character" w:styleId="948" w:customStyle="1">
    <w:name w:val="Основной текст с отступом Знак"/>
    <w:basedOn w:val="930"/>
    <w:link w:val="947"/>
    <w:rPr>
      <w:rFonts w:ascii="Times New Roman" w:hAnsi="Times New Roman" w:eastAsia="SimSun" w:cs="Times New Roman"/>
      <w:sz w:val="24"/>
      <w:szCs w:val="24"/>
      <w:lang w:eastAsia="ru-RU"/>
    </w:rPr>
  </w:style>
  <w:style w:type="paragraph" w:styleId="949" w:customStyle="1">
    <w:name w:val="Подпункт"/>
    <w:basedOn w:val="926"/>
    <w:pPr>
      <w:ind w:left="480" w:hanging="360"/>
      <w:jc w:val="both"/>
      <w:spacing w:line="360" w:lineRule="auto"/>
      <w:tabs>
        <w:tab w:val="num" w:pos="480" w:leader="none"/>
      </w:tabs>
    </w:pPr>
    <w:rPr>
      <w:sz w:val="28"/>
      <w:szCs w:val="20"/>
    </w:rPr>
  </w:style>
  <w:style w:type="paragraph" w:styleId="950" w:customStyle="1">
    <w:name w:val="Таблица шапка"/>
    <w:basedOn w:val="926"/>
    <w:pPr>
      <w:ind w:left="57" w:right="57"/>
      <w:keepNext/>
      <w:spacing w:before="40" w:after="40"/>
    </w:pPr>
    <w:rPr>
      <w:sz w:val="22"/>
      <w:szCs w:val="20"/>
    </w:rPr>
  </w:style>
  <w:style w:type="paragraph" w:styleId="951" w:customStyle="1">
    <w:name w:val="Таблица текст"/>
    <w:basedOn w:val="926"/>
    <w:pPr>
      <w:ind w:left="57" w:right="57"/>
      <w:spacing w:before="40" w:after="40"/>
    </w:pPr>
    <w:rPr>
      <w:szCs w:val="20"/>
    </w:rPr>
  </w:style>
  <w:style w:type="paragraph" w:styleId="952" w:customStyle="1">
    <w:name w:val="Times 12"/>
    <w:basedOn w:val="926"/>
    <w:pPr>
      <w:ind w:firstLine="567"/>
      <w:jc w:val="both"/>
    </w:pPr>
    <w:rPr>
      <w:szCs w:val="20"/>
      <w:lang w:eastAsia="ar-SA"/>
    </w:rPr>
  </w:style>
  <w:style w:type="paragraph" w:styleId="953" w:customStyle="1">
    <w:name w:val="StGen0"/>
    <w:basedOn w:val="926"/>
    <w:next w:val="956"/>
    <w:link w:val="954"/>
    <w:qFormat/>
    <w:pPr>
      <w:jc w:val="center"/>
    </w:pPr>
    <w:rPr>
      <w:rFonts w:eastAsia="MS Mincho" w:asciiTheme="minorHAnsi" w:hAnsiTheme="minorHAnsi" w:cstheme="minorBidi"/>
      <w:b/>
      <w:sz w:val="28"/>
      <w:szCs w:val="22"/>
    </w:rPr>
  </w:style>
  <w:style w:type="character" w:styleId="954" w:customStyle="1">
    <w:name w:val="Название Знак"/>
    <w:link w:val="953"/>
    <w:rPr>
      <w:rFonts w:eastAsia="MS Mincho"/>
      <w:b/>
      <w:sz w:val="28"/>
      <w:lang w:val="ru-RU" w:eastAsia="ru-RU" w:bidi="ar-SA"/>
    </w:rPr>
  </w:style>
  <w:style w:type="paragraph" w:styleId="955" w:customStyle="1">
    <w:name w:val="Пункт б/н"/>
    <w:basedOn w:val="926"/>
    <w:pPr>
      <w:ind w:firstLine="567"/>
      <w:jc w:val="both"/>
      <w:spacing w:line="360" w:lineRule="auto"/>
      <w:tabs>
        <w:tab w:val="left" w:pos="1134" w:leader="none"/>
      </w:tabs>
    </w:pPr>
    <w:rPr>
      <w:bCs/>
      <w:sz w:val="22"/>
      <w:szCs w:val="22"/>
    </w:rPr>
  </w:style>
  <w:style w:type="paragraph" w:styleId="956">
    <w:name w:val="Title"/>
    <w:basedOn w:val="926"/>
    <w:next w:val="926"/>
    <w:link w:val="957"/>
    <w:uiPriority w:val="10"/>
    <w:qFormat/>
    <w:pPr>
      <w:contextualSpacing/>
    </w:pPr>
    <w:rPr>
      <w:rFonts w:asciiTheme="majorHAnsi" w:hAnsiTheme="majorHAnsi" w:eastAsiaTheme="majorEastAsia" w:cstheme="majorBidi"/>
      <w:spacing w:val="-10"/>
      <w:sz w:val="56"/>
      <w:szCs w:val="56"/>
    </w:rPr>
  </w:style>
  <w:style w:type="character" w:styleId="957" w:customStyle="1">
    <w:name w:val="Заголовок Знак"/>
    <w:basedOn w:val="930"/>
    <w:link w:val="956"/>
    <w:uiPriority w:val="10"/>
    <w:rPr>
      <w:rFonts w:asciiTheme="majorHAnsi" w:hAnsiTheme="majorHAnsi" w:eastAsiaTheme="majorEastAsia" w:cstheme="majorBidi"/>
      <w:spacing w:val="-10"/>
      <w:sz w:val="56"/>
      <w:szCs w:val="56"/>
      <w:lang w:eastAsia="ru-RU"/>
    </w:rPr>
  </w:style>
  <w:style w:type="paragraph" w:styleId="958" w:customStyle="1">
    <w:name w:val="Обычный1"/>
    <w:pPr>
      <w:ind w:firstLine="567"/>
      <w:jc w:val="both"/>
      <w:spacing w:before="120" w:after="120" w:line="360" w:lineRule="atLeast"/>
      <w:widowControl w:val="off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59" w:customStyle="1">
    <w:name w:val="Абзац списка1"/>
    <w:basedOn w:val="926"/>
    <w:link w:val="960"/>
    <w:pPr>
      <w:contextualSpacing/>
      <w:ind w:left="720" w:right="284" w:firstLine="720"/>
      <w:jc w:val="both"/>
      <w:spacing w:after="120" w:line="288" w:lineRule="auto"/>
    </w:pPr>
    <w:rPr>
      <w:rFonts w:eastAsia="SimSun"/>
      <w:color w:val="000000"/>
      <w:szCs w:val="20"/>
      <w:lang w:eastAsia="en-US"/>
    </w:rPr>
  </w:style>
  <w:style w:type="character" w:styleId="960" w:customStyle="1">
    <w:name w:val="List Paragraph Char"/>
    <w:link w:val="959"/>
    <w:rPr>
      <w:rFonts w:ascii="Times New Roman" w:hAnsi="Times New Roman" w:eastAsia="SimSun" w:cs="Times New Roman"/>
      <w:color w:val="000000"/>
      <w:sz w:val="24"/>
      <w:szCs w:val="20"/>
    </w:rPr>
  </w:style>
  <w:style w:type="character" w:styleId="961" w:customStyle="1">
    <w:name w:val="Заголовок 2 Знак"/>
    <w:basedOn w:val="930"/>
    <w:link w:val="927"/>
    <w:rPr>
      <w:rFonts w:asciiTheme="majorHAnsi" w:hAnsiTheme="majorHAnsi" w:eastAsiaTheme="majorEastAsia" w:cstheme="majorBidi"/>
      <w:color w:val="2e74b5" w:themeColor="accent1" w:themeShade="BF"/>
      <w:sz w:val="26"/>
      <w:szCs w:val="26"/>
      <w:lang w:eastAsia="ru-RU"/>
    </w:rPr>
  </w:style>
  <w:style w:type="paragraph" w:styleId="962" w:customStyle="1">
    <w:name w:val="StGen1"/>
    <w:basedOn w:val="926"/>
    <w:next w:val="956"/>
    <w:qFormat/>
    <w:pPr>
      <w:jc w:val="center"/>
    </w:pPr>
    <w:rPr>
      <w:b/>
      <w:sz w:val="28"/>
      <w:szCs w:val="20"/>
    </w:rPr>
  </w:style>
  <w:style w:type="paragraph" w:styleId="963" w:customStyle="1">
    <w:name w:val="ConsPlusNormal"/>
    <w:pPr>
      <w:spacing w:after="0" w:line="240" w:lineRule="auto"/>
      <w:widowControl w:val="off"/>
    </w:pPr>
    <w:rPr>
      <w:rFonts w:ascii="Calibri" w:hAnsi="Calibri" w:eastAsia="Times New Roman" w:cs="Calibri"/>
      <w:szCs w:val="20"/>
      <w:lang w:eastAsia="ru-RU"/>
    </w:rPr>
  </w:style>
  <w:style w:type="character" w:styleId="964">
    <w:name w:val="annotation reference"/>
    <w:basedOn w:val="930"/>
    <w:uiPriority w:val="99"/>
    <w:unhideWhenUsed/>
    <w:rPr>
      <w:sz w:val="16"/>
      <w:szCs w:val="16"/>
    </w:rPr>
  </w:style>
  <w:style w:type="paragraph" w:styleId="965">
    <w:name w:val="annotation text"/>
    <w:basedOn w:val="926"/>
    <w:link w:val="966"/>
    <w:uiPriority w:val="99"/>
    <w:unhideWhenUsed/>
    <w:pPr>
      <w:spacing w:after="200"/>
    </w:pPr>
    <w:rPr>
      <w:rFonts w:asciiTheme="minorHAnsi" w:hAnsiTheme="minorHAnsi" w:eastAsiaTheme="minorHAnsi" w:cstheme="minorBidi"/>
      <w:sz w:val="20"/>
      <w:szCs w:val="20"/>
      <w:lang w:eastAsia="en-US"/>
    </w:rPr>
  </w:style>
  <w:style w:type="character" w:styleId="966" w:customStyle="1">
    <w:name w:val="Текст примечания Знак"/>
    <w:basedOn w:val="930"/>
    <w:link w:val="965"/>
    <w:uiPriority w:val="99"/>
    <w:rPr>
      <w:sz w:val="20"/>
      <w:szCs w:val="20"/>
    </w:rPr>
  </w:style>
  <w:style w:type="paragraph" w:styleId="967">
    <w:name w:val="annotation subject"/>
    <w:basedOn w:val="965"/>
    <w:next w:val="965"/>
    <w:link w:val="968"/>
    <w:uiPriority w:val="99"/>
    <w:semiHidden/>
    <w:unhideWhenUsed/>
    <w:pPr>
      <w:spacing w:after="0"/>
    </w:pPr>
    <w:rPr>
      <w:rFonts w:ascii="Times New Roman" w:hAnsi="Times New Roman" w:eastAsia="Times New Roman" w:cs="Times New Roman"/>
      <w:b/>
      <w:bCs/>
      <w:lang w:eastAsia="ru-RU"/>
    </w:rPr>
  </w:style>
  <w:style w:type="character" w:styleId="968" w:customStyle="1">
    <w:name w:val="Тема примечания Знак"/>
    <w:basedOn w:val="966"/>
    <w:link w:val="967"/>
    <w:uiPriority w:val="99"/>
    <w:semiHidden/>
    <w:rPr>
      <w:rFonts w:ascii="Times New Roman" w:hAnsi="Times New Roman" w:eastAsia="Times New Roman" w:cs="Times New Roman"/>
      <w:b/>
      <w:bCs/>
      <w:sz w:val="20"/>
      <w:szCs w:val="20"/>
      <w:lang w:eastAsia="ru-RU"/>
    </w:rPr>
  </w:style>
  <w:style w:type="paragraph" w:styleId="969">
    <w:name w:val="Body Text Indent 3"/>
    <w:basedOn w:val="926"/>
    <w:link w:val="970"/>
    <w:uiPriority w:val="99"/>
    <w:pPr>
      <w:ind w:left="283"/>
      <w:spacing w:after="120"/>
    </w:pPr>
    <w:rPr>
      <w:sz w:val="16"/>
      <w:szCs w:val="16"/>
    </w:rPr>
  </w:style>
  <w:style w:type="character" w:styleId="970" w:customStyle="1">
    <w:name w:val="Основной текст с отступом 3 Знак"/>
    <w:basedOn w:val="930"/>
    <w:link w:val="969"/>
    <w:uiPriority w:val="99"/>
    <w:rPr>
      <w:rFonts w:ascii="Times New Roman" w:hAnsi="Times New Roman" w:eastAsia="Times New Roman" w:cs="Times New Roman"/>
      <w:sz w:val="16"/>
      <w:szCs w:val="16"/>
      <w:lang w:eastAsia="ru-RU"/>
    </w:rPr>
  </w:style>
  <w:style w:type="character" w:styleId="971" w:customStyle="1">
    <w:name w:val="Без интервала Знак"/>
    <w:link w:val="940"/>
    <w:uiPriority w:val="1"/>
    <w:rPr>
      <w:rFonts w:ascii="Times New Roman" w:hAnsi="Times New Roman" w:eastAsia="Times New Roman" w:cs="Times New Roman"/>
      <w:sz w:val="24"/>
      <w:szCs w:val="24"/>
      <w:lang w:eastAsia="ru-RU"/>
    </w:rPr>
  </w:style>
  <w:style w:type="character" w:styleId="972" w:customStyle="1">
    <w:name w:val="Абзац списка Знак"/>
    <w:basedOn w:val="930"/>
    <w:link w:val="941"/>
    <w:uiPriority w:val="34"/>
    <w:qFormat/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973" w:customStyle="1">
    <w:name w:val="1-з"/>
    <w:qFormat/>
    <w:pPr>
      <w:numPr>
        <w:ilvl w:val="0"/>
        <w:numId w:val="24"/>
      </w:numPr>
      <w:jc w:val="center"/>
      <w:pageBreakBefore/>
      <w:spacing w:after="0" w:line="240" w:lineRule="auto"/>
      <w:outlineLvl w:val="0"/>
    </w:pPr>
    <w:rPr>
      <w:rFonts w:ascii="Times New Roman" w:hAnsi="Times New Roman" w:eastAsia="Times New Roman" w:cs="Times New Roman"/>
      <w:b/>
      <w:caps/>
      <w:sz w:val="24"/>
      <w:szCs w:val="20"/>
      <w:lang w:eastAsia="ru-RU"/>
    </w:rPr>
  </w:style>
  <w:style w:type="paragraph" w:styleId="974" w:customStyle="1">
    <w:name w:val="2-з"/>
    <w:basedOn w:val="926"/>
    <w:qFormat/>
    <w:pPr>
      <w:numPr>
        <w:ilvl w:val="1"/>
        <w:numId w:val="24"/>
      </w:numPr>
      <w:jc w:val="both"/>
      <w:spacing w:before="120" w:after="120"/>
      <w:widowControl w:val="off"/>
      <w:outlineLvl w:val="1"/>
    </w:pPr>
    <w:rPr>
      <w:b/>
      <w:szCs w:val="20"/>
    </w:rPr>
  </w:style>
  <w:style w:type="paragraph" w:styleId="975" w:customStyle="1">
    <w:name w:val="3-з"/>
    <w:link w:val="981"/>
    <w:qFormat/>
    <w:pPr>
      <w:numPr>
        <w:ilvl w:val="2"/>
        <w:numId w:val="24"/>
      </w:numPr>
      <w:jc w:val="both"/>
      <w:spacing w:before="120" w:after="12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numbering" w:styleId="976" w:customStyle="1">
    <w:name w:val="нумерация"/>
    <w:uiPriority w:val="99"/>
    <w:pPr>
      <w:numPr>
        <w:ilvl w:val="0"/>
        <w:numId w:val="23"/>
      </w:numPr>
    </w:pPr>
  </w:style>
  <w:style w:type="paragraph" w:styleId="977" w:customStyle="1">
    <w:name w:val="4-з"/>
    <w:qFormat/>
    <w:pPr>
      <w:numPr>
        <w:ilvl w:val="3"/>
        <w:numId w:val="24"/>
      </w:numPr>
      <w:jc w:val="both"/>
      <w:spacing w:after="0" w:line="240" w:lineRule="auto"/>
    </w:pPr>
    <w:rPr>
      <w:rFonts w:ascii="Times New Roman" w:hAnsi="Times New Roman" w:eastAsia="Times New Roman" w:cs="Times New Roman"/>
      <w:sz w:val="24"/>
      <w:szCs w:val="20"/>
      <w:lang w:eastAsia="ru-RU"/>
    </w:rPr>
  </w:style>
  <w:style w:type="paragraph" w:styleId="978" w:customStyle="1">
    <w:name w:val="5-з"/>
    <w:basedOn w:val="926"/>
    <w:qFormat/>
    <w:pPr>
      <w:numPr>
        <w:ilvl w:val="4"/>
        <w:numId w:val="24"/>
      </w:numPr>
      <w:jc w:val="both"/>
      <w:widowControl w:val="off"/>
    </w:pPr>
    <w:rPr>
      <w:szCs w:val="20"/>
    </w:rPr>
  </w:style>
  <w:style w:type="paragraph" w:styleId="979" w:customStyle="1">
    <w:name w:val="6-буквы"/>
    <w:basedOn w:val="926"/>
    <w:qFormat/>
    <w:pPr>
      <w:numPr>
        <w:ilvl w:val="5"/>
        <w:numId w:val="24"/>
      </w:numPr>
      <w:jc w:val="both"/>
      <w:widowControl w:val="off"/>
    </w:pPr>
    <w:rPr>
      <w:szCs w:val="20"/>
    </w:rPr>
  </w:style>
  <w:style w:type="paragraph" w:styleId="980" w:customStyle="1">
    <w:name w:val="7-форма"/>
    <w:qFormat/>
    <w:pPr>
      <w:numPr>
        <w:ilvl w:val="6"/>
        <w:numId w:val="24"/>
      </w:numPr>
      <w:ind w:left="0"/>
      <w:jc w:val="right"/>
      <w:spacing w:after="0" w:line="240" w:lineRule="auto"/>
      <w:tabs>
        <w:tab w:val="left" w:pos="1080" w:leader="none"/>
      </w:tabs>
    </w:pPr>
    <w:rPr>
      <w:rFonts w:ascii="Times New Roman" w:hAnsi="Times New Roman" w:eastAsia="Times New Roman" w:cs="Times New Roman"/>
      <w:b/>
      <w:sz w:val="24"/>
      <w:szCs w:val="20"/>
      <w:lang w:eastAsia="ru-RU"/>
    </w:rPr>
  </w:style>
  <w:style w:type="character" w:styleId="981" w:customStyle="1">
    <w:name w:val="3-з Знак"/>
    <w:basedOn w:val="930"/>
    <w:link w:val="975"/>
    <w:rPr>
      <w:rFonts w:ascii="Times New Roman" w:hAnsi="Times New Roman" w:eastAsia="Times New Roman" w:cs="Times New Roman"/>
      <w:sz w:val="24"/>
      <w:szCs w:val="20"/>
      <w:lang w:eastAsia="ru-RU"/>
    </w:rPr>
  </w:style>
  <w:style w:type="table" w:styleId="982">
    <w:name w:val="Table Grid"/>
    <w:basedOn w:val="931"/>
    <w:uiPriority w:val="3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footer" Target="footer1.xml" /><Relationship Id="rId10" Type="http://schemas.openxmlformats.org/officeDocument/2006/relationships/footer" Target="footer2.xml" /><Relationship Id="rId11" Type="http://schemas.openxmlformats.org/officeDocument/2006/relationships/footer" Target="footer3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Р7-Офис/2025.3.1.923</Application>
  <Company>Hewlett-Packard Company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Корнев Егор Александрович</dc:creator>
  <cp:keywords/>
  <dc:description/>
  <cp:lastModifiedBy>Syuzyumov-KA</cp:lastModifiedBy>
  <cp:revision>20</cp:revision>
  <dcterms:created xsi:type="dcterms:W3CDTF">2025-10-09T09:16:00Z</dcterms:created>
  <dcterms:modified xsi:type="dcterms:W3CDTF">2026-07-23T10:44:01Z</dcterms:modified>
</cp:coreProperties>
</file>